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2" w:type="dxa"/>
        <w:tblLook w:val="00BF"/>
      </w:tblPr>
      <w:tblGrid>
        <w:gridCol w:w="1440"/>
        <w:gridCol w:w="4611"/>
        <w:gridCol w:w="4749"/>
      </w:tblGrid>
      <w:tr w:rsidR="001A3DCE" w:rsidTr="00CE6155">
        <w:trPr>
          <w:trHeight w:hRule="exact" w:val="1701"/>
        </w:trPr>
        <w:tc>
          <w:tcPr>
            <w:tcW w:w="1440" w:type="dxa"/>
          </w:tcPr>
          <w:p w:rsidR="001A3DCE" w:rsidRDefault="001A3DCE" w:rsidP="00CE6155">
            <w:pPr>
              <w:pStyle w:val="Topptekst"/>
            </w:pPr>
            <w:r>
              <w:rPr>
                <w:noProof/>
              </w:rPr>
              <w:pict>
                <v:line id="_x0000_s1029" style="position:absolute;z-index:251660288;mso-position-horizontal-relative:page;mso-position-vertical-relative:page" from="19.85pt,280.65pt" to="31.2pt,280.7pt" o:allowincell="f">
                  <v:stroke startarrowwidth="wide" endarrowwidth="wide"/>
                  <w10:wrap anchorx="page" anchory="page"/>
                </v:line>
              </w:pi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Bilde 1" descr="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1A3DCE" w:rsidRDefault="001A3DCE" w:rsidP="00CE6155">
            <w:pPr>
              <w:rPr>
                <w:rFonts w:ascii="Arial" w:hAnsi="Arial"/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 xml:space="preserve">Unjárgga </w:t>
            </w:r>
            <w:proofErr w:type="spellStart"/>
            <w:r>
              <w:rPr>
                <w:b/>
                <w:sz w:val="32"/>
              </w:rPr>
              <w:t>gielda</w:t>
            </w:r>
            <w:proofErr w:type="spellEnd"/>
          </w:p>
          <w:p w:rsidR="001A3DCE" w:rsidRDefault="001A3DCE" w:rsidP="00CE6155">
            <w:r>
              <w:rPr>
                <w:b/>
                <w:sz w:val="32"/>
              </w:rPr>
              <w:t>Nesseby kommune</w:t>
            </w:r>
            <w:r>
              <w:t xml:space="preserve"> </w:t>
            </w:r>
          </w:p>
        </w:tc>
        <w:tc>
          <w:tcPr>
            <w:tcW w:w="4749" w:type="dxa"/>
          </w:tcPr>
          <w:p w:rsidR="001A3DCE" w:rsidRDefault="001A3DCE" w:rsidP="00CE6155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32"/>
              </w:rPr>
              <w:t>Møteinnkalling</w:t>
            </w:r>
          </w:p>
        </w:tc>
        <w:bookmarkStart w:id="0" w:name="FastTabell"/>
        <w:bookmarkEnd w:id="0"/>
      </w:tr>
    </w:tbl>
    <w:p w:rsidR="001A3DCE" w:rsidRDefault="001A3DCE" w:rsidP="001A3DCE"/>
    <w:tbl>
      <w:tblPr>
        <w:tblW w:w="0" w:type="auto"/>
        <w:tblInd w:w="108" w:type="dxa"/>
        <w:tblLook w:val="00BF"/>
      </w:tblPr>
      <w:tblGrid>
        <w:gridCol w:w="1260"/>
        <w:gridCol w:w="8070"/>
      </w:tblGrid>
      <w:tr w:rsidR="001A3DCE" w:rsidTr="00CE6155">
        <w:tc>
          <w:tcPr>
            <w:tcW w:w="1260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Utvalg:</w:t>
            </w:r>
          </w:p>
        </w:tc>
        <w:tc>
          <w:tcPr>
            <w:tcW w:w="8070" w:type="dxa"/>
          </w:tcPr>
          <w:p w:rsidR="001A3DCE" w:rsidRDefault="001A3DCE" w:rsidP="00CE6155">
            <w:pPr>
              <w:rPr>
                <w:sz w:val="24"/>
              </w:rPr>
            </w:pPr>
            <w:bookmarkStart w:id="1" w:name="UTVALGSNAVN"/>
            <w:proofErr w:type="spellStart"/>
            <w:r>
              <w:rPr>
                <w:sz w:val="24"/>
              </w:rPr>
              <w:t>Gielddastivra/Kommunestyret</w:t>
            </w:r>
            <w:bookmarkEnd w:id="1"/>
            <w:proofErr w:type="spellEnd"/>
          </w:p>
        </w:tc>
      </w:tr>
      <w:tr w:rsidR="001A3DCE" w:rsidTr="00CE6155">
        <w:tc>
          <w:tcPr>
            <w:tcW w:w="1260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Møtested:</w:t>
            </w:r>
          </w:p>
        </w:tc>
        <w:tc>
          <w:tcPr>
            <w:tcW w:w="8070" w:type="dxa"/>
          </w:tcPr>
          <w:p w:rsidR="001A3DCE" w:rsidRDefault="001A3DCE" w:rsidP="00CE6155">
            <w:pPr>
              <w:rPr>
                <w:sz w:val="24"/>
              </w:rPr>
            </w:pPr>
            <w:bookmarkStart w:id="2" w:name="MØTEROM"/>
            <w:proofErr w:type="spellStart"/>
            <w:r>
              <w:rPr>
                <w:sz w:val="24"/>
              </w:rPr>
              <w:t>Kommunestyresalen</w:t>
            </w:r>
            <w:bookmarkEnd w:id="2"/>
            <w:proofErr w:type="spellEnd"/>
            <w:r>
              <w:rPr>
                <w:sz w:val="24"/>
              </w:rPr>
              <w:t xml:space="preserve">, </w:t>
            </w:r>
            <w:bookmarkStart w:id="3" w:name="MØTESTED"/>
            <w:r>
              <w:rPr>
                <w:sz w:val="24"/>
              </w:rPr>
              <w:t>Nesseby rådhus</w:t>
            </w:r>
            <w:bookmarkEnd w:id="3"/>
          </w:p>
        </w:tc>
      </w:tr>
      <w:tr w:rsidR="001A3DCE" w:rsidTr="00CE6155">
        <w:tc>
          <w:tcPr>
            <w:tcW w:w="1260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  <w:tc>
          <w:tcPr>
            <w:tcW w:w="8070" w:type="dxa"/>
          </w:tcPr>
          <w:p w:rsidR="001A3DCE" w:rsidRDefault="001A3DCE" w:rsidP="00CE6155">
            <w:pPr>
              <w:rPr>
                <w:sz w:val="24"/>
              </w:rPr>
            </w:pPr>
            <w:bookmarkStart w:id="4" w:name="MØTEDATO"/>
            <w:proofErr w:type="gramStart"/>
            <w:r>
              <w:rPr>
                <w:sz w:val="24"/>
              </w:rPr>
              <w:t>19.09.2013</w:t>
            </w:r>
            <w:bookmarkEnd w:id="4"/>
            <w:proofErr w:type="gramEnd"/>
          </w:p>
        </w:tc>
      </w:tr>
      <w:tr w:rsidR="001A3DCE" w:rsidTr="00CE6155">
        <w:tc>
          <w:tcPr>
            <w:tcW w:w="1260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Tid:</w:t>
            </w:r>
          </w:p>
        </w:tc>
        <w:tc>
          <w:tcPr>
            <w:tcW w:w="8070" w:type="dxa"/>
          </w:tcPr>
          <w:p w:rsidR="001A3DCE" w:rsidRDefault="001A3DCE" w:rsidP="00CE6155">
            <w:pPr>
              <w:rPr>
                <w:sz w:val="24"/>
              </w:rPr>
            </w:pPr>
            <w:bookmarkStart w:id="5" w:name="MØTESTART"/>
            <w:r>
              <w:rPr>
                <w:sz w:val="24"/>
              </w:rPr>
              <w:t>18:00</w:t>
            </w:r>
            <w:bookmarkEnd w:id="5"/>
          </w:p>
        </w:tc>
      </w:tr>
    </w:tbl>
    <w:p w:rsidR="001A3DCE" w:rsidRDefault="001A3DCE" w:rsidP="001A3DCE"/>
    <w:p w:rsidR="001A3DCE" w:rsidRDefault="001A3DCE" w:rsidP="001A3DCE"/>
    <w:p w:rsidR="001A3DCE" w:rsidRDefault="001A3DCE" w:rsidP="001A3DCE">
      <w:r>
        <w:t xml:space="preserve">Forfall meldes snarest til servicekontoret på </w:t>
      </w:r>
      <w:proofErr w:type="gramStart"/>
      <w:r>
        <w:t>tlf. 40440500</w:t>
      </w:r>
      <w:proofErr w:type="gramEnd"/>
      <w:r>
        <w:t xml:space="preserve"> eller </w:t>
      </w:r>
      <w:proofErr w:type="spellStart"/>
      <w:r>
        <w:t>sentralbordnby@nesseby.kommune.no</w:t>
      </w:r>
      <w:proofErr w:type="spellEnd"/>
      <w:r>
        <w:t xml:space="preserve">.  </w:t>
      </w:r>
    </w:p>
    <w:p w:rsidR="001A3DCE" w:rsidRDefault="001A3DCE" w:rsidP="001A3DCE"/>
    <w:p w:rsidR="001A3DCE" w:rsidRDefault="001A3DCE" w:rsidP="001A3DCE">
      <w:r>
        <w:t>Spørretimen utgår.</w:t>
      </w:r>
    </w:p>
    <w:p w:rsidR="001A3DCE" w:rsidRDefault="001A3DCE" w:rsidP="001A3DCE"/>
    <w:p w:rsidR="001A3DCE" w:rsidRDefault="001A3DCE" w:rsidP="001A3DCE"/>
    <w:tbl>
      <w:tblPr>
        <w:tblW w:w="0" w:type="auto"/>
        <w:tblInd w:w="108" w:type="dxa"/>
        <w:tblLook w:val="00BF"/>
      </w:tblPr>
      <w:tblGrid>
        <w:gridCol w:w="2994"/>
        <w:gridCol w:w="44"/>
        <w:gridCol w:w="3057"/>
        <w:gridCol w:w="89"/>
        <w:gridCol w:w="2996"/>
        <w:gridCol w:w="150"/>
      </w:tblGrid>
      <w:tr w:rsidR="001A3DCE" w:rsidTr="00CE6155">
        <w:tc>
          <w:tcPr>
            <w:tcW w:w="3038" w:type="dxa"/>
            <w:gridSpan w:val="2"/>
          </w:tcPr>
          <w:p w:rsidR="001A3DCE" w:rsidRDefault="001A3DCE" w:rsidP="00CE6155">
            <w:pPr>
              <w:spacing w:before="60" w:after="60"/>
            </w:pPr>
            <w:r>
              <w:t>Innkalling er sendt til:</w:t>
            </w:r>
          </w:p>
        </w:tc>
        <w:tc>
          <w:tcPr>
            <w:tcW w:w="3146" w:type="dxa"/>
            <w:gridSpan w:val="2"/>
          </w:tcPr>
          <w:p w:rsidR="001A3DCE" w:rsidRDefault="001A3DCE" w:rsidP="00CE6155">
            <w:pPr>
              <w:spacing w:before="60" w:after="60"/>
            </w:pPr>
          </w:p>
        </w:tc>
        <w:tc>
          <w:tcPr>
            <w:tcW w:w="3146" w:type="dxa"/>
            <w:gridSpan w:val="2"/>
          </w:tcPr>
          <w:p w:rsidR="001A3DCE" w:rsidRDefault="001A3DCE" w:rsidP="00CE6155">
            <w:pPr>
              <w:spacing w:before="60" w:after="60"/>
            </w:pPr>
          </w:p>
        </w:tc>
      </w:tr>
      <w:tr w:rsidR="001A3DCE" w:rsidTr="00CE6155"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1A3DCE" w:rsidRDefault="001A3DCE" w:rsidP="00CE6155">
            <w:r>
              <w:t>Navn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1A3DCE" w:rsidRDefault="001A3DCE" w:rsidP="00CE6155">
            <w:r>
              <w:t>Funksjon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1A3DCE" w:rsidRDefault="001A3DCE" w:rsidP="00CE6155">
            <w:r>
              <w:t>Representerer</w:t>
            </w:r>
          </w:p>
        </w:tc>
      </w:tr>
      <w:tr w:rsidR="001A3DCE" w:rsidTr="00CE6155">
        <w:tc>
          <w:tcPr>
            <w:tcW w:w="3038" w:type="dxa"/>
            <w:gridSpan w:val="2"/>
            <w:tcBorders>
              <w:top w:val="single" w:sz="4" w:space="0" w:color="auto"/>
            </w:tcBorders>
          </w:tcPr>
          <w:p w:rsidR="001A3DCE" w:rsidRDefault="001A3DCE" w:rsidP="00CE6155">
            <w:bookmarkStart w:id="6" w:name="UtvalgsMedlemmerAlle"/>
            <w:bookmarkEnd w:id="6"/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1A3DCE" w:rsidRDefault="001A3DCE" w:rsidP="00CE6155"/>
        </w:tc>
        <w:tc>
          <w:tcPr>
            <w:tcW w:w="3146" w:type="dxa"/>
            <w:gridSpan w:val="2"/>
            <w:tcBorders>
              <w:top w:val="single" w:sz="4" w:space="0" w:color="auto"/>
            </w:tcBorders>
          </w:tcPr>
          <w:p w:rsidR="001A3DCE" w:rsidRDefault="001A3DCE" w:rsidP="00CE6155"/>
        </w:tc>
      </w:tr>
      <w:tr w:rsidR="001A3DCE" w:rsidTr="00CE6155">
        <w:tc>
          <w:tcPr>
            <w:tcW w:w="3038" w:type="dxa"/>
            <w:gridSpan w:val="2"/>
          </w:tcPr>
          <w:p w:rsidR="001A3DCE" w:rsidRDefault="001A3DCE" w:rsidP="00CE6155"/>
        </w:tc>
        <w:tc>
          <w:tcPr>
            <w:tcW w:w="3146" w:type="dxa"/>
            <w:gridSpan w:val="2"/>
          </w:tcPr>
          <w:p w:rsidR="001A3DCE" w:rsidRDefault="001A3DCE" w:rsidP="00CE6155"/>
        </w:tc>
        <w:tc>
          <w:tcPr>
            <w:tcW w:w="3146" w:type="dxa"/>
            <w:gridSpan w:val="2"/>
          </w:tcPr>
          <w:p w:rsidR="001A3DCE" w:rsidRDefault="001A3DCE" w:rsidP="00CE6155"/>
        </w:tc>
      </w:tr>
      <w:tr w:rsidR="001A3DCE" w:rsidTr="00CE6155">
        <w:trPr>
          <w:gridAfter w:val="1"/>
          <w:wAfter w:w="150" w:type="dxa"/>
        </w:trPr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CE" w:rsidRDefault="001A3DCE" w:rsidP="00CE6155">
            <w:r>
              <w:t>Knut Inge Store</w:t>
            </w:r>
          </w:p>
          <w:p w:rsidR="001A3DCE" w:rsidRDefault="001A3DCE" w:rsidP="00CE6155">
            <w:r>
              <w:t>Hanne Iversen</w:t>
            </w:r>
          </w:p>
          <w:p w:rsidR="001A3DCE" w:rsidRDefault="001A3DCE" w:rsidP="00CE6155">
            <w:r>
              <w:t>Ina Kristine Store</w:t>
            </w:r>
          </w:p>
          <w:p w:rsidR="001A3DCE" w:rsidRDefault="001A3DCE" w:rsidP="00CE6155">
            <w:r>
              <w:t>Magnhild I Mathisen</w:t>
            </w:r>
          </w:p>
          <w:p w:rsidR="001A3DCE" w:rsidRDefault="001A3DCE" w:rsidP="00CE6155">
            <w:r>
              <w:t>Jan Hansen</w:t>
            </w:r>
          </w:p>
          <w:p w:rsidR="001A3DCE" w:rsidRDefault="001A3DCE" w:rsidP="00CE6155">
            <w:r>
              <w:t xml:space="preserve">Jørn Stefan </w:t>
            </w:r>
            <w:proofErr w:type="spellStart"/>
            <w:r>
              <w:t>Opdahl</w:t>
            </w:r>
            <w:proofErr w:type="spellEnd"/>
          </w:p>
          <w:p w:rsidR="001A3DCE" w:rsidRDefault="001A3DCE" w:rsidP="00CE6155">
            <w:r>
              <w:t>Jarle W Andreassen</w:t>
            </w:r>
          </w:p>
          <w:p w:rsidR="001A3DCE" w:rsidRDefault="001A3DCE" w:rsidP="00CE6155">
            <w:r>
              <w:t>Torgeir Olsen</w:t>
            </w:r>
          </w:p>
          <w:p w:rsidR="001A3DCE" w:rsidRDefault="001A3DCE" w:rsidP="00CE6155">
            <w:r>
              <w:t>Marit Kjerstad</w:t>
            </w:r>
          </w:p>
          <w:p w:rsidR="001A3DCE" w:rsidRDefault="001A3DCE" w:rsidP="00CE6155">
            <w:r>
              <w:t>Tor Gunnar Henriksen</w:t>
            </w:r>
          </w:p>
          <w:p w:rsidR="001A3DCE" w:rsidRDefault="001A3DCE" w:rsidP="00CE6155">
            <w:r>
              <w:t>Tone Lise Roska</w:t>
            </w:r>
          </w:p>
          <w:p w:rsidR="001A3DCE" w:rsidRDefault="001A3DCE" w:rsidP="00CE6155">
            <w:r>
              <w:t>Anja K Pedersen Noste</w:t>
            </w:r>
          </w:p>
          <w:p w:rsidR="001A3DCE" w:rsidRDefault="001A3DCE" w:rsidP="00CE6155">
            <w:r>
              <w:t xml:space="preserve">Siv Annie </w:t>
            </w:r>
            <w:proofErr w:type="spellStart"/>
            <w:r>
              <w:t>Mahisen</w:t>
            </w:r>
            <w:proofErr w:type="spellEnd"/>
          </w:p>
          <w:p w:rsidR="001A3DCE" w:rsidRDefault="001A3DCE" w:rsidP="00CE6155">
            <w:r>
              <w:t>Oddvar Betten</w:t>
            </w:r>
          </w:p>
          <w:p w:rsidR="001A3DCE" w:rsidRDefault="001A3DCE" w:rsidP="00CE6155">
            <w:r>
              <w:t xml:space="preserve">Linn Jeanne </w:t>
            </w:r>
            <w:proofErr w:type="spellStart"/>
            <w:r>
              <w:t>Muotka</w:t>
            </w:r>
            <w:proofErr w:type="spellEnd"/>
          </w:p>
          <w:p w:rsidR="001A3DCE" w:rsidRDefault="001A3DCE" w:rsidP="00CE6155">
            <w:r>
              <w:t>Astrid Siri</w:t>
            </w:r>
          </w:p>
          <w:p w:rsidR="001A3DCE" w:rsidRDefault="001A3DCE" w:rsidP="00CE6155">
            <w:r>
              <w:t>Nina Ingeborg Persen</w:t>
            </w:r>
          </w:p>
          <w:p w:rsidR="001A3DCE" w:rsidRDefault="001A3DCE" w:rsidP="00CE6155">
            <w:r>
              <w:t xml:space="preserve">Linn Jeanett </w:t>
            </w:r>
            <w:proofErr w:type="spellStart"/>
            <w:r>
              <w:t>Bergmo</w:t>
            </w:r>
            <w:proofErr w:type="spellEnd"/>
            <w:r>
              <w:t xml:space="preserve"> Store</w:t>
            </w:r>
          </w:p>
          <w:p w:rsidR="001A3DCE" w:rsidRDefault="001A3DCE" w:rsidP="00CE6155">
            <w:r>
              <w:t xml:space="preserve">Jim </w:t>
            </w:r>
            <w:proofErr w:type="spellStart"/>
            <w:r>
              <w:t>Njuolla</w:t>
            </w:r>
            <w:proofErr w:type="spellEnd"/>
          </w:p>
          <w:p w:rsidR="001A3DCE" w:rsidRDefault="001A3DCE" w:rsidP="00CE6155">
            <w:r>
              <w:t>Heidi Olsen</w:t>
            </w:r>
          </w:p>
          <w:p w:rsidR="001A3DCE" w:rsidRDefault="001A3DCE" w:rsidP="00CE6155">
            <w:r>
              <w:t xml:space="preserve">Verner </w:t>
            </w:r>
            <w:proofErr w:type="spellStart"/>
            <w:r>
              <w:t>Methi</w:t>
            </w:r>
            <w:proofErr w:type="spellEnd"/>
          </w:p>
          <w:p w:rsidR="001A3DCE" w:rsidRDefault="001A3DCE" w:rsidP="00CE6155">
            <w:r>
              <w:t xml:space="preserve">Helmer Kåre </w:t>
            </w:r>
            <w:proofErr w:type="spellStart"/>
            <w:r>
              <w:t>Losoa</w:t>
            </w:r>
            <w:proofErr w:type="spellEnd"/>
          </w:p>
          <w:p w:rsidR="001A3DCE" w:rsidRDefault="001A3DCE" w:rsidP="00CE6155">
            <w:r>
              <w:t>Per Torbjørn Aune</w:t>
            </w:r>
          </w:p>
          <w:p w:rsidR="001A3DCE" w:rsidRDefault="001A3DCE" w:rsidP="00CE6155">
            <w:r>
              <w:t>Nils I Noste</w:t>
            </w:r>
          </w:p>
          <w:p w:rsidR="001A3DCE" w:rsidRDefault="001A3DCE" w:rsidP="00CE6155">
            <w:r>
              <w:t>Ane-Helen Pedersen</w:t>
            </w:r>
          </w:p>
          <w:p w:rsidR="001A3DCE" w:rsidRDefault="001A3DCE" w:rsidP="00CE6155">
            <w:r>
              <w:t>Stig Erling Johnsen</w:t>
            </w:r>
          </w:p>
          <w:p w:rsidR="001A3DCE" w:rsidRDefault="001A3DCE" w:rsidP="00CE6155">
            <w:r>
              <w:t>Esther Karin Stina</w:t>
            </w:r>
          </w:p>
          <w:p w:rsidR="001A3DCE" w:rsidRDefault="001A3DCE" w:rsidP="00CE61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  <w:r>
              <w:rPr>
                <w:lang w:val="en-US"/>
              </w:rPr>
              <w:t xml:space="preserve"> Johnsen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Tommy Andersen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 xml:space="preserve">Charles </w:t>
            </w:r>
            <w:proofErr w:type="spellStart"/>
            <w:r>
              <w:rPr>
                <w:lang w:val="en-US"/>
              </w:rPr>
              <w:t>Petterson</w:t>
            </w:r>
            <w:proofErr w:type="spellEnd"/>
          </w:p>
          <w:p w:rsidR="001A3DCE" w:rsidRDefault="001A3DCE" w:rsidP="00CE6155">
            <w:r>
              <w:t>Kjell-Harald Erichsen</w:t>
            </w:r>
          </w:p>
          <w:p w:rsidR="001A3DCE" w:rsidRDefault="001A3DCE" w:rsidP="00CE6155">
            <w:r>
              <w:t>Kate Johanne Utsi</w:t>
            </w:r>
          </w:p>
          <w:p w:rsidR="001A3DCE" w:rsidRDefault="001A3DCE" w:rsidP="00CE6155">
            <w:r>
              <w:t>Harald Store</w:t>
            </w:r>
          </w:p>
          <w:p w:rsidR="001A3DCE" w:rsidRDefault="001A3DCE" w:rsidP="00CE6155">
            <w:r>
              <w:t>Inger Anita Smuk</w:t>
            </w:r>
          </w:p>
          <w:p w:rsidR="001A3DCE" w:rsidRDefault="001A3DCE" w:rsidP="00CE6155">
            <w:r>
              <w:t>Laila Strandbakke Smuk</w:t>
            </w:r>
          </w:p>
          <w:p w:rsidR="001A3DCE" w:rsidRDefault="001A3DCE" w:rsidP="00CE6155">
            <w:r>
              <w:t>Tor Ivar Hauge</w:t>
            </w:r>
          </w:p>
          <w:p w:rsidR="001A3DCE" w:rsidRDefault="001A3DCE" w:rsidP="00CE6155">
            <w:r>
              <w:t>Mari-Ann Nilssen</w:t>
            </w:r>
          </w:p>
          <w:p w:rsidR="001A3DCE" w:rsidRDefault="001A3DCE" w:rsidP="00CE6155">
            <w:r>
              <w:t>Terje Arild Nilssen</w:t>
            </w:r>
          </w:p>
          <w:p w:rsidR="001A3DCE" w:rsidRDefault="001A3DCE" w:rsidP="00CE6155">
            <w:r>
              <w:lastRenderedPageBreak/>
              <w:t xml:space="preserve"> Gunn-Britt Retter</w:t>
            </w:r>
          </w:p>
          <w:p w:rsidR="001A3DCE" w:rsidRDefault="001A3DCE" w:rsidP="00CE6155">
            <w:r>
              <w:t xml:space="preserve">Jan </w:t>
            </w:r>
            <w:proofErr w:type="spellStart"/>
            <w:r>
              <w:t>Ivvár</w:t>
            </w:r>
            <w:proofErr w:type="spellEnd"/>
            <w:r>
              <w:t xml:space="preserve"> Juuso Smuk</w:t>
            </w:r>
          </w:p>
          <w:p w:rsidR="001A3DCE" w:rsidRDefault="001A3DCE" w:rsidP="00CE6155">
            <w:r>
              <w:t>Ingvald Andersen</w:t>
            </w:r>
          </w:p>
          <w:p w:rsidR="001A3DCE" w:rsidRDefault="001A3DCE" w:rsidP="00CE6155">
            <w:r>
              <w:t>Jo Dikkanen</w:t>
            </w:r>
          </w:p>
          <w:p w:rsidR="001A3DCE" w:rsidRDefault="001A3DCE" w:rsidP="00CE6155">
            <w:proofErr w:type="spellStart"/>
            <w:r>
              <w:t>Rávdná</w:t>
            </w:r>
            <w:proofErr w:type="spellEnd"/>
            <w:r>
              <w:t xml:space="preserve"> </w:t>
            </w:r>
            <w:proofErr w:type="spellStart"/>
            <w:r>
              <w:t>Márjá</w:t>
            </w:r>
            <w:proofErr w:type="spellEnd"/>
            <w:r>
              <w:t xml:space="preserve"> N. </w:t>
            </w:r>
            <w:proofErr w:type="spellStart"/>
            <w:r>
              <w:t>Gaup</w:t>
            </w:r>
            <w:proofErr w:type="spellEnd"/>
          </w:p>
          <w:p w:rsidR="001A3DCE" w:rsidRDefault="001A3DCE" w:rsidP="00CE6155">
            <w:r>
              <w:t>Kirsti Bergstø</w:t>
            </w:r>
          </w:p>
          <w:p w:rsidR="001A3DCE" w:rsidRDefault="001A3DCE" w:rsidP="00CE6155">
            <w:r>
              <w:t>Sissel Røstgård</w:t>
            </w:r>
          </w:p>
          <w:p w:rsidR="001A3DCE" w:rsidRDefault="001A3DCE" w:rsidP="00CE6155">
            <w:r>
              <w:t>Kari Moan</w:t>
            </w:r>
          </w:p>
          <w:p w:rsidR="001A3DCE" w:rsidRDefault="001A3DCE" w:rsidP="00CE6155">
            <w:r>
              <w:t>Eirik Larsen</w:t>
            </w:r>
          </w:p>
          <w:p w:rsidR="001A3DCE" w:rsidRDefault="001A3DCE" w:rsidP="00CE6155">
            <w:r>
              <w:t xml:space="preserve">Leif </w:t>
            </w:r>
            <w:proofErr w:type="spellStart"/>
            <w:r>
              <w:t>Eberg</w:t>
            </w:r>
            <w:proofErr w:type="spellEnd"/>
            <w:r>
              <w:t xml:space="preserve"> Hansen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CE" w:rsidRDefault="001A3DCE" w:rsidP="00CE6155">
            <w:r>
              <w:lastRenderedPageBreak/>
              <w:t>Leder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r>
              <w:t>Nestleder</w:t>
            </w:r>
          </w:p>
          <w:p w:rsidR="001A3DCE" w:rsidRDefault="001A3DCE" w:rsidP="00CE6155">
            <w:r>
              <w:t>Medlem</w:t>
            </w:r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  <w:r>
              <w:t xml:space="preserve"> </w:t>
            </w:r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  <w:r>
              <w:t xml:space="preserve"> </w:t>
            </w:r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lastRenderedPageBreak/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  <w:p w:rsidR="001A3DCE" w:rsidRDefault="001A3DCE" w:rsidP="00CE6155">
            <w:proofErr w:type="spellStart"/>
            <w:r>
              <w:t>Varamedlem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>
              <w:rPr>
                <w:lang w:val="en-US"/>
              </w:rPr>
              <w:br/>
              <w:t>A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FRP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FRP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TVP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  <w:t>SFP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SFP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SV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SV</w:t>
            </w:r>
          </w:p>
          <w:p w:rsidR="001A3DCE" w:rsidRDefault="001A3DCE" w:rsidP="00CE615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A</w:t>
            </w:r>
            <w:r>
              <w:rPr>
                <w:lang w:val="en-US"/>
              </w:rPr>
              <w:br/>
              <w:t>FRP</w:t>
            </w:r>
            <w:r>
              <w:rPr>
                <w:lang w:val="en-US"/>
              </w:rPr>
              <w:br/>
              <w:t>FRP</w:t>
            </w:r>
            <w:r>
              <w:rPr>
                <w:lang w:val="en-US"/>
              </w:rPr>
              <w:br/>
              <w:t>FRP</w:t>
            </w:r>
            <w:r>
              <w:rPr>
                <w:lang w:val="en-US"/>
              </w:rPr>
              <w:br/>
              <w:t>FRP</w:t>
            </w:r>
            <w:r>
              <w:rPr>
                <w:lang w:val="en-US"/>
              </w:rPr>
              <w:br/>
              <w:t>FRP</w:t>
            </w:r>
            <w:r>
              <w:rPr>
                <w:lang w:val="en-US"/>
              </w:rPr>
              <w:br/>
              <w:t>TVP</w:t>
            </w:r>
            <w:r>
              <w:rPr>
                <w:lang w:val="en-US"/>
              </w:rPr>
              <w:br/>
              <w:t>TVP</w:t>
            </w:r>
            <w:r>
              <w:rPr>
                <w:lang w:val="en-US"/>
              </w:rPr>
              <w:br/>
              <w:t>TVP</w:t>
            </w:r>
            <w:r>
              <w:rPr>
                <w:lang w:val="en-US"/>
              </w:rPr>
              <w:br/>
              <w:t>TVP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  <w:t>H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SFP</w:t>
            </w:r>
            <w:r>
              <w:rPr>
                <w:lang w:val="en-US"/>
              </w:rPr>
              <w:br/>
              <w:t>SFP</w:t>
            </w:r>
            <w:r>
              <w:rPr>
                <w:lang w:val="en-US"/>
              </w:rPr>
              <w:br/>
              <w:t>SFP</w:t>
            </w:r>
            <w:r>
              <w:rPr>
                <w:lang w:val="en-US"/>
              </w:rPr>
              <w:br/>
              <w:t>SFP</w:t>
            </w:r>
          </w:p>
          <w:p w:rsidR="001A3DCE" w:rsidRDefault="001A3DCE" w:rsidP="00CE6155">
            <w:r>
              <w:t>SFP</w:t>
            </w:r>
          </w:p>
          <w:p w:rsidR="001A3DCE" w:rsidRDefault="001A3DCE" w:rsidP="00CE6155">
            <w:r>
              <w:t>SV</w:t>
            </w:r>
            <w:r>
              <w:br/>
              <w:t>SV</w:t>
            </w:r>
            <w:r>
              <w:br/>
              <w:t>SV</w:t>
            </w:r>
            <w:r>
              <w:br/>
              <w:t>SV</w:t>
            </w:r>
            <w:r>
              <w:br/>
              <w:t>SV</w:t>
            </w:r>
          </w:p>
        </w:tc>
      </w:tr>
      <w:tr w:rsidR="001A3DCE" w:rsidTr="00CE6155">
        <w:trPr>
          <w:gridAfter w:val="1"/>
          <w:wAfter w:w="150" w:type="dxa"/>
        </w:trPr>
        <w:tc>
          <w:tcPr>
            <w:tcW w:w="2994" w:type="dxa"/>
          </w:tcPr>
          <w:p w:rsidR="001A3DCE" w:rsidRDefault="001A3DCE" w:rsidP="00CE6155"/>
        </w:tc>
        <w:tc>
          <w:tcPr>
            <w:tcW w:w="3101" w:type="dxa"/>
            <w:gridSpan w:val="2"/>
          </w:tcPr>
          <w:p w:rsidR="001A3DCE" w:rsidRDefault="001A3DCE" w:rsidP="00CE6155"/>
        </w:tc>
        <w:tc>
          <w:tcPr>
            <w:tcW w:w="3085" w:type="dxa"/>
            <w:gridSpan w:val="2"/>
          </w:tcPr>
          <w:p w:rsidR="001A3DCE" w:rsidRDefault="001A3DCE" w:rsidP="00CE6155"/>
        </w:tc>
      </w:tr>
    </w:tbl>
    <w:p w:rsidR="001A3DCE" w:rsidRDefault="001A3DCE" w:rsidP="001A3DCE"/>
    <w:p w:rsidR="001A3DCE" w:rsidRDefault="001A3DCE" w:rsidP="001A3DCE"/>
    <w:p w:rsidR="001A3DCE" w:rsidRDefault="001A3DCE" w:rsidP="001A3DCE"/>
    <w:p w:rsidR="001A3DCE" w:rsidRDefault="001A3DCE" w:rsidP="001A3DCE"/>
    <w:p w:rsidR="001A3DCE" w:rsidRDefault="001A3DCE" w:rsidP="001A3DCE"/>
    <w:p w:rsidR="001A3DCE" w:rsidRDefault="001A3DCE" w:rsidP="001A3DCE"/>
    <w:p w:rsidR="001A3DCE" w:rsidRDefault="001A3DCE" w:rsidP="001A3DCE">
      <w:pPr>
        <w:jc w:val="center"/>
      </w:pPr>
      <w:r>
        <w:t xml:space="preserve">Varangerbotn, </w:t>
      </w:r>
      <w:proofErr w:type="gramStart"/>
      <w:r>
        <w:t>12.09.2013</w:t>
      </w:r>
      <w:proofErr w:type="gramEnd"/>
    </w:p>
    <w:p w:rsidR="001A3DCE" w:rsidRDefault="001A3DCE" w:rsidP="001A3DCE">
      <w:pPr>
        <w:jc w:val="center"/>
      </w:pPr>
    </w:p>
    <w:p w:rsidR="001A3DCE" w:rsidRDefault="001A3DCE" w:rsidP="001A3DCE">
      <w:pPr>
        <w:jc w:val="center"/>
      </w:pPr>
    </w:p>
    <w:p w:rsidR="001A3DCE" w:rsidRDefault="001A3DCE" w:rsidP="001A3DCE">
      <w:pPr>
        <w:jc w:val="center"/>
      </w:pPr>
    </w:p>
    <w:p w:rsidR="001A3DCE" w:rsidRDefault="001A3DCE" w:rsidP="001A3DCE">
      <w:pPr>
        <w:jc w:val="center"/>
      </w:pPr>
      <w:r>
        <w:t>Knut Store</w:t>
      </w:r>
    </w:p>
    <w:p w:rsidR="001A3DCE" w:rsidRDefault="001A3DCE" w:rsidP="001A3DCE">
      <w:pPr>
        <w:jc w:val="center"/>
      </w:pPr>
      <w:r>
        <w:t>ordfører</w:t>
      </w:r>
      <w:r>
        <w:br w:type="page"/>
      </w:r>
    </w:p>
    <w:tbl>
      <w:tblPr>
        <w:tblW w:w="0" w:type="auto"/>
        <w:tblLook w:val="00BF"/>
      </w:tblPr>
      <w:tblGrid>
        <w:gridCol w:w="2359"/>
        <w:gridCol w:w="7079"/>
      </w:tblGrid>
      <w:tr w:rsidR="001A3DCE" w:rsidTr="00CE6155">
        <w:tc>
          <w:tcPr>
            <w:tcW w:w="2359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spacing w:before="60" w:after="60"/>
            </w:pPr>
            <w:proofErr w:type="spellStart"/>
            <w:r>
              <w:lastRenderedPageBreak/>
              <w:t>Saksnr</w:t>
            </w:r>
            <w:proofErr w:type="spell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spacing w:before="60" w:after="60"/>
            </w:pPr>
            <w:r>
              <w:t>Innhold</w:t>
            </w:r>
          </w:p>
        </w:tc>
      </w:tr>
      <w:tr w:rsidR="001A3DCE" w:rsidTr="00CE6155">
        <w:tc>
          <w:tcPr>
            <w:tcW w:w="2359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spacing w:before="60" w:after="60"/>
            </w:pPr>
            <w:bookmarkStart w:id="7" w:name="Saksliste"/>
            <w:bookmarkStart w:id="8" w:name="OffentligSaksliste"/>
            <w:bookmarkEnd w:id="7"/>
            <w:bookmarkEnd w:id="8"/>
            <w:r>
              <w:t>PS 36/13</w:t>
            </w:r>
          </w:p>
        </w:tc>
        <w:tc>
          <w:tcPr>
            <w:tcW w:w="7079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spacing w:before="60" w:after="60"/>
            </w:pPr>
            <w:r>
              <w:t>Godkjenning av innkalling og saksliste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PS 37/13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Referater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RS 6/13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DNB Livsforsikring ASA avvikler sin satsning på offentlig tjenestepensjonsprodukter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RS 7/13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Tilsynsrapport barnehagen 2013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PS 38/13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Søknad om tilskudd til dekning av ekstrautgifter ved utarbeidelse av reguleringsplan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PS 39/13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Fremtidig pensjonsordning for folkevalgte i Nesseby kommune.</w:t>
            </w:r>
          </w:p>
        </w:tc>
      </w:tr>
      <w:tr w:rsidR="001A3DCE" w:rsidTr="00CE6155">
        <w:tc>
          <w:tcPr>
            <w:tcW w:w="2359" w:type="dxa"/>
          </w:tcPr>
          <w:p w:rsidR="001A3DCE" w:rsidRDefault="001A3DCE" w:rsidP="00CE6155">
            <w:pPr>
              <w:spacing w:before="60" w:after="60"/>
            </w:pPr>
            <w:r>
              <w:t>PS 40/13</w:t>
            </w:r>
          </w:p>
          <w:p w:rsidR="001A3DCE" w:rsidRDefault="001A3DCE" w:rsidP="00CE6155">
            <w:pPr>
              <w:spacing w:before="60" w:after="60"/>
            </w:pPr>
          </w:p>
          <w:p w:rsidR="001A3DCE" w:rsidRDefault="001A3DCE" w:rsidP="00CE6155">
            <w:pPr>
              <w:spacing w:before="60" w:after="60"/>
            </w:pPr>
            <w:r>
              <w:t>PS 41/13</w:t>
            </w:r>
          </w:p>
        </w:tc>
        <w:tc>
          <w:tcPr>
            <w:tcW w:w="7079" w:type="dxa"/>
          </w:tcPr>
          <w:p w:rsidR="001A3DCE" w:rsidRDefault="001A3DCE" w:rsidP="00CE6155">
            <w:pPr>
              <w:spacing w:before="60" w:after="60"/>
            </w:pPr>
            <w:r>
              <w:t>Finansiering av lagerhall for teknisk avdeling</w:t>
            </w:r>
          </w:p>
          <w:p w:rsidR="001A3DCE" w:rsidRDefault="001A3DCE" w:rsidP="00CE6155">
            <w:pPr>
              <w:spacing w:before="60" w:after="60"/>
            </w:pPr>
          </w:p>
          <w:p w:rsidR="001A3DCE" w:rsidRDefault="001A3DCE" w:rsidP="00CE6155">
            <w:pPr>
              <w:spacing w:before="60" w:after="60"/>
            </w:pPr>
            <w:r>
              <w:t>Omdisponering av prosjektmidler – Boligfelt</w:t>
            </w:r>
          </w:p>
          <w:p w:rsidR="001A3DCE" w:rsidRPr="00F70252" w:rsidRDefault="001A3DCE" w:rsidP="00CE6155">
            <w:pPr>
              <w:spacing w:before="60" w:after="60"/>
              <w:rPr>
                <w:b/>
              </w:rPr>
            </w:pPr>
            <w:r>
              <w:rPr>
                <w:b/>
              </w:rPr>
              <w:t>Ettersendes</w:t>
            </w:r>
          </w:p>
        </w:tc>
      </w:tr>
    </w:tbl>
    <w:p w:rsidR="001A3DCE" w:rsidRDefault="001A3DCE" w:rsidP="001A3DCE"/>
    <w:p w:rsidR="001A3DCE" w:rsidRPr="0018378F" w:rsidRDefault="001A3DCE" w:rsidP="001A3DCE">
      <w:r>
        <w:br w:type="page"/>
      </w:r>
    </w:p>
    <w:p w:rsidR="001A3DCE" w:rsidRDefault="001A3DCE" w:rsidP="001A3DCE">
      <w:pPr>
        <w:pStyle w:val="Sakstittel1"/>
      </w:pPr>
      <w:r>
        <w:lastRenderedPageBreak/>
        <w:t>PS 36/13 Godkjenning av innkalling og saksliste</w:t>
      </w:r>
    </w:p>
    <w:p w:rsidR="001A3DCE" w:rsidRDefault="001A3DCE" w:rsidP="001A3DCE">
      <w:pPr>
        <w:pStyle w:val="Sakstittel1"/>
      </w:pPr>
      <w:r>
        <w:br w:type="page"/>
      </w:r>
      <w:r>
        <w:lastRenderedPageBreak/>
        <w:t>PS 37/13 Referater</w:t>
      </w:r>
    </w:p>
    <w:p w:rsidR="001A3DCE" w:rsidRDefault="001A3DCE" w:rsidP="001A3DCE">
      <w:pPr>
        <w:pStyle w:val="Sakstittel2"/>
      </w:pPr>
      <w:r>
        <w:t>RS 6/13 DNB Livsforsikring ASA avvikler sin satsning på offentlig tjenestepensjonsprodukter</w:t>
      </w:r>
    </w:p>
    <w:p w:rsidR="001A3DCE" w:rsidRDefault="001A3DCE" w:rsidP="001A3DCE">
      <w:pPr>
        <w:pStyle w:val="Sakstittel2"/>
      </w:pPr>
      <w:r>
        <w:t>RS 7/13 Tilsynsrapport barnehagen 2013</w:t>
      </w:r>
    </w:p>
    <w:p w:rsidR="001A3DCE" w:rsidRPr="00550E98" w:rsidRDefault="001A3DCE" w:rsidP="001A3DCE">
      <w:pPr>
        <w:pStyle w:val="Sakstittel2"/>
      </w:pPr>
      <w:r>
        <w:br w:type="page"/>
      </w:r>
    </w:p>
    <w:tbl>
      <w:tblPr>
        <w:tblW w:w="10312" w:type="dxa"/>
        <w:tblInd w:w="-972" w:type="dxa"/>
        <w:tblLayout w:type="fixed"/>
        <w:tblLook w:val="00BF"/>
      </w:tblPr>
      <w:tblGrid>
        <w:gridCol w:w="1260"/>
        <w:gridCol w:w="1817"/>
        <w:gridCol w:w="1659"/>
        <w:gridCol w:w="1128"/>
        <w:gridCol w:w="76"/>
        <w:gridCol w:w="1576"/>
        <w:gridCol w:w="2796"/>
      </w:tblGrid>
      <w:tr w:rsidR="001A3DCE" w:rsidTr="00CE6155">
        <w:trPr>
          <w:trHeight w:hRule="exact" w:val="1701"/>
        </w:trPr>
        <w:tc>
          <w:tcPr>
            <w:tcW w:w="1260" w:type="dxa"/>
          </w:tcPr>
          <w:p w:rsidR="001A3DCE" w:rsidRDefault="001A3DCE" w:rsidP="00CE6155">
            <w:pPr>
              <w:pStyle w:val="Topptekst"/>
            </w:pPr>
            <w:r>
              <w:rPr>
                <w:noProof/>
              </w:rPr>
              <w:lastRenderedPageBreak/>
              <w:pict>
                <v:line id="_x0000_s1030" style="position:absolute;z-index:251661312;mso-position-horizontal-relative:page;mso-position-vertical-relative:page" from="19.85pt,280.65pt" to="31.2pt,280.7pt" o:allowincell="f">
                  <v:stroke startarrowwidth="wide" endarrowwidth="wide"/>
                  <w10:wrap anchorx="page" anchory="page"/>
                </v:line>
              </w:pict>
            </w: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732155" cy="914400"/>
                  <wp:effectExtent l="19050" t="0" r="0" b="0"/>
                  <wp:docPr id="3" name="Bilde 3" descr="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4"/>
          </w:tcPr>
          <w:p w:rsidR="001A3DCE" w:rsidRDefault="001A3DCE" w:rsidP="00CE6155">
            <w:pPr>
              <w:pStyle w:val="Overskrift5"/>
            </w:pPr>
            <w:r>
              <w:t xml:space="preserve">Unjárgga </w:t>
            </w:r>
            <w:proofErr w:type="spellStart"/>
            <w:r>
              <w:t>gielda</w:t>
            </w:r>
            <w:proofErr w:type="spellEnd"/>
            <w:r>
              <w:t>/</w:t>
            </w:r>
          </w:p>
          <w:p w:rsidR="001A3DCE" w:rsidRDefault="001A3DCE" w:rsidP="00CE6155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  <w:spacing w:val="-20"/>
                <w:sz w:val="36"/>
              </w:rPr>
              <w:t>Nesseby kommune</w:t>
            </w:r>
          </w:p>
          <w:p w:rsidR="001A3DCE" w:rsidRDefault="001A3DCE" w:rsidP="00CE6155">
            <w:bookmarkStart w:id="9" w:name="ADMBETEGNELSE"/>
            <w:r>
              <w:t>Virksomhet for Samfunnsutvikling</w:t>
            </w:r>
            <w:bookmarkEnd w:id="9"/>
          </w:p>
        </w:tc>
        <w:tc>
          <w:tcPr>
            <w:tcW w:w="4372" w:type="dxa"/>
            <w:gridSpan w:val="2"/>
          </w:tcPr>
          <w:p w:rsidR="001A3DCE" w:rsidRDefault="001A3DCE" w:rsidP="00CE6155">
            <w:pPr>
              <w:spacing w:before="120"/>
              <w:jc w:val="right"/>
              <w:rPr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Áššedieđut/Saksframlegg</w:t>
            </w:r>
            <w:proofErr w:type="spellEnd"/>
          </w:p>
        </w:tc>
      </w:tr>
      <w:tr w:rsidR="001A3DCE" w:rsidRPr="00CA15BD" w:rsidTr="00CE6155">
        <w:trPr>
          <w:gridBefore w:val="1"/>
          <w:wBefore w:w="1260" w:type="dxa"/>
          <w:trHeight w:hRule="exact" w:val="1021"/>
        </w:trPr>
        <w:tc>
          <w:tcPr>
            <w:tcW w:w="1817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Beaivi/Dato</w:t>
            </w:r>
            <w:proofErr w:type="spellEnd"/>
          </w:p>
          <w:p w:rsidR="001A3DCE" w:rsidRDefault="001A3DCE" w:rsidP="00CE6155">
            <w:pPr>
              <w:pStyle w:val="Topptekst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4"/>
              </w:rPr>
              <w:t>Čuj./Referanse</w:t>
            </w:r>
            <w:proofErr w:type="spellEnd"/>
          </w:p>
        </w:tc>
        <w:tc>
          <w:tcPr>
            <w:tcW w:w="1659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bookmarkStart w:id="10" w:name="BREVDATO"/>
            <w:proofErr w:type="gramStart"/>
            <w:r>
              <w:rPr>
                <w:sz w:val="24"/>
              </w:rPr>
              <w:t>27.08.2013</w:t>
            </w:r>
            <w:bookmarkEnd w:id="10"/>
            <w:proofErr w:type="gramEnd"/>
          </w:p>
          <w:p w:rsidR="001A3DCE" w:rsidRDefault="001A3DCE" w:rsidP="00CE6155">
            <w:pPr>
              <w:pStyle w:val="Topptekst"/>
              <w:rPr>
                <w:sz w:val="24"/>
              </w:rPr>
            </w:pPr>
            <w:bookmarkStart w:id="11" w:name="SAKSNR"/>
            <w:r>
              <w:rPr>
                <w:sz w:val="24"/>
              </w:rPr>
              <w:t>2013/475</w:t>
            </w:r>
            <w:bookmarkEnd w:id="11"/>
            <w:r>
              <w:rPr>
                <w:sz w:val="24"/>
              </w:rPr>
              <w:t>-</w:t>
            </w:r>
            <w:bookmarkStart w:id="12" w:name="NRISAK"/>
            <w:r>
              <w:rPr>
                <w:sz w:val="24"/>
              </w:rPr>
              <w:t>3</w:t>
            </w:r>
            <w:bookmarkEnd w:id="12"/>
            <w:r>
              <w:rPr>
                <w:sz w:val="24"/>
              </w:rPr>
              <w:t xml:space="preserve"> / </w:t>
            </w:r>
            <w:bookmarkStart w:id="13" w:name="PRIMÆRKLASSERING"/>
            <w:bookmarkEnd w:id="13"/>
          </w:p>
        </w:tc>
        <w:tc>
          <w:tcPr>
            <w:tcW w:w="1128" w:type="dxa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1652" w:type="dxa"/>
            <w:gridSpan w:val="2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2796" w:type="dxa"/>
          </w:tcPr>
          <w:p w:rsidR="001A3DCE" w:rsidRPr="00CA15BD" w:rsidRDefault="001A3DCE" w:rsidP="00CE6155">
            <w:pPr>
              <w:pStyle w:val="Topptekst"/>
              <w:jc w:val="right"/>
              <w:rPr>
                <w:sz w:val="24"/>
              </w:rPr>
            </w:pPr>
            <w:bookmarkStart w:id="14" w:name="SAKSBEHANDLERNAVN"/>
            <w:r>
              <w:rPr>
                <w:sz w:val="24"/>
              </w:rPr>
              <w:t>Odd Arne Dikkanen</w:t>
            </w:r>
            <w:bookmarkEnd w:id="14"/>
          </w:p>
          <w:p w:rsidR="001A3DCE" w:rsidRPr="00CA15BD" w:rsidRDefault="001A3DCE" w:rsidP="00CE6155">
            <w:pPr>
              <w:pStyle w:val="Topptekst"/>
              <w:jc w:val="right"/>
              <w:rPr>
                <w:sz w:val="24"/>
              </w:rPr>
            </w:pPr>
            <w:bookmarkStart w:id="15" w:name="SAKSBEHTLF"/>
            <w:r>
              <w:rPr>
                <w:sz w:val="24"/>
              </w:rPr>
              <w:t>78 96 00 42</w:t>
            </w:r>
            <w:bookmarkEnd w:id="15"/>
          </w:p>
          <w:p w:rsidR="001A3DCE" w:rsidRPr="00CA15BD" w:rsidRDefault="001A3DCE" w:rsidP="00CE6155">
            <w:pPr>
              <w:pStyle w:val="Topptekst"/>
              <w:jc w:val="right"/>
              <w:rPr>
                <w:sz w:val="24"/>
              </w:rPr>
            </w:pPr>
            <w:bookmarkStart w:id="16" w:name="SAKSBEHEMAIL"/>
            <w:r>
              <w:rPr>
                <w:sz w:val="24"/>
              </w:rPr>
              <w:t>odd-arne.dikkanen@nesseby.kommune.no</w:t>
            </w:r>
            <w:bookmarkEnd w:id="16"/>
          </w:p>
          <w:p w:rsidR="001A3DCE" w:rsidRPr="00CA15BD" w:rsidRDefault="001A3DCE" w:rsidP="00CE6155">
            <w:pPr>
              <w:pStyle w:val="Topptekst"/>
              <w:jc w:val="right"/>
              <w:rPr>
                <w:sz w:val="24"/>
              </w:rPr>
            </w:pPr>
          </w:p>
        </w:tc>
      </w:tr>
    </w:tbl>
    <w:p w:rsidR="001A3DCE" w:rsidRPr="00CA15BD" w:rsidRDefault="001A3DCE" w:rsidP="001A3DCE">
      <w:pPr>
        <w:jc w:val="right"/>
        <w:rPr>
          <w:b/>
        </w:rPr>
      </w:pPr>
      <w:bookmarkStart w:id="17" w:name="UOFFPARAGRAF"/>
      <w:bookmarkEnd w:id="17"/>
    </w:p>
    <w:tbl>
      <w:tblPr>
        <w:tblW w:w="0" w:type="auto"/>
        <w:tblInd w:w="108" w:type="dxa"/>
        <w:tblLook w:val="00BF"/>
      </w:tblPr>
      <w:tblGrid>
        <w:gridCol w:w="3123"/>
        <w:gridCol w:w="3434"/>
        <w:gridCol w:w="2849"/>
      </w:tblGrid>
      <w:tr w:rsidR="001A3DCE" w:rsidTr="00CE6155">
        <w:tc>
          <w:tcPr>
            <w:tcW w:w="2083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pStyle w:val="Overskrift4"/>
            </w:pPr>
            <w:proofErr w:type="spellStart"/>
            <w:r>
              <w:t>Lávdegoddi/Utvalg</w:t>
            </w:r>
            <w:proofErr w:type="spellEnd"/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Čoahkkináššenr/Møtesaksnr</w:t>
            </w:r>
            <w:proofErr w:type="spellEnd"/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Čoahkkinbeaivi/Møtedato</w:t>
            </w:r>
            <w:proofErr w:type="spellEnd"/>
          </w:p>
        </w:tc>
      </w:tr>
      <w:tr w:rsidR="001A3DCE" w:rsidTr="00CE6155">
        <w:tc>
          <w:tcPr>
            <w:tcW w:w="2083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bookmarkStart w:id="18" w:name="Saksgang"/>
            <w:bookmarkEnd w:id="18"/>
            <w:proofErr w:type="spellStart"/>
            <w:r>
              <w:rPr>
                <w:sz w:val="24"/>
              </w:rPr>
              <w:t>Ovdagoddi/Formannskapet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77/13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05.09.2013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Gielddastivra/Kommunestyret</w:t>
            </w:r>
            <w:proofErr w:type="spellEnd"/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38/13</w:t>
            </w: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19.09.2013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</w:tbl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bookmarkStart w:id="19" w:name="VEDLEGG"/>
      <w:bookmarkEnd w:id="19"/>
    </w:p>
    <w:p w:rsidR="001A3DCE" w:rsidRDefault="001A3DCE" w:rsidP="001A3DCE">
      <w:pPr>
        <w:pStyle w:val="Sakstittel1"/>
      </w:pPr>
      <w:bookmarkStart w:id="20" w:name="TITTEL"/>
      <w:r>
        <w:t xml:space="preserve">Søknad om tilskudd til dekning av ekstrautgifter ved utarbeidelse av </w:t>
      </w:r>
      <w:bookmarkStart w:id="21" w:name="ephOppMerke"/>
      <w:bookmarkEnd w:id="21"/>
      <w:r>
        <w:t>reguleringsplan</w:t>
      </w:r>
      <w:bookmarkEnd w:id="20"/>
    </w:p>
    <w:p w:rsidR="001A3DCE" w:rsidRDefault="001A3DCE" w:rsidP="001A3DCE">
      <w:pPr>
        <w:pStyle w:val="Overskrift2"/>
      </w:pPr>
      <w:bookmarkStart w:id="22" w:name="Innstilling"/>
      <w:r>
        <w:t>Administrasjonens innstilling</w:t>
      </w:r>
    </w:p>
    <w:p w:rsidR="001A3DCE" w:rsidRPr="00051D1A" w:rsidRDefault="001A3DCE" w:rsidP="001A3DCE">
      <w:pPr>
        <w:numPr>
          <w:ilvl w:val="0"/>
          <w:numId w:val="1"/>
        </w:numPr>
      </w:pPr>
      <w:r w:rsidRPr="00051D1A">
        <w:t xml:space="preserve">Nesseby kommune innvilger Nesseby smolt et tilskudd på inntil kr. 75 000,- som utgjør </w:t>
      </w:r>
      <w:proofErr w:type="gramStart"/>
      <w:r w:rsidRPr="00051D1A">
        <w:t>50%</w:t>
      </w:r>
      <w:proofErr w:type="gramEnd"/>
      <w:r w:rsidRPr="00051D1A">
        <w:t xml:space="preserve"> av </w:t>
      </w:r>
      <w:proofErr w:type="spellStart"/>
      <w:r w:rsidRPr="00051D1A">
        <w:t>godkent</w:t>
      </w:r>
      <w:proofErr w:type="spellEnd"/>
      <w:r w:rsidRPr="00051D1A">
        <w:t xml:space="preserve"> kostnadsoverslag på kr. 150 000,-</w:t>
      </w:r>
    </w:p>
    <w:p w:rsidR="001A3DCE" w:rsidRPr="00051D1A" w:rsidRDefault="001A3DCE" w:rsidP="001A3DCE">
      <w:pPr>
        <w:numPr>
          <w:ilvl w:val="0"/>
          <w:numId w:val="1"/>
        </w:numPr>
      </w:pPr>
      <w:r w:rsidRPr="00051D1A">
        <w:t>Tilskuddet belastes konto 1.24435.147056.325 – Ordinært næringsfond</w:t>
      </w:r>
    </w:p>
    <w:p w:rsidR="001A3DCE" w:rsidRPr="00051D1A" w:rsidRDefault="001A3DCE" w:rsidP="001A3DCE">
      <w:pPr>
        <w:numPr>
          <w:ilvl w:val="0"/>
          <w:numId w:val="1"/>
        </w:numPr>
      </w:pPr>
      <w:r w:rsidRPr="00051D1A">
        <w:t>Tilskuddet kan utbetales mot dokumenterte kostnader. Godkjent dokumentasjon er kvittering/faktura eller revisorgodkjent regnskap</w:t>
      </w:r>
    </w:p>
    <w:p w:rsidR="001A3DCE" w:rsidRPr="00051D1A" w:rsidRDefault="001A3DCE" w:rsidP="001A3DCE">
      <w:pPr>
        <w:numPr>
          <w:ilvl w:val="0"/>
          <w:numId w:val="1"/>
        </w:numPr>
      </w:pPr>
      <w:r w:rsidRPr="00051D1A">
        <w:t xml:space="preserve">Hvis søker velger </w:t>
      </w:r>
      <w:proofErr w:type="gramStart"/>
      <w:r w:rsidRPr="00051D1A">
        <w:t>å</w:t>
      </w:r>
      <w:proofErr w:type="gramEnd"/>
      <w:r w:rsidRPr="00051D1A">
        <w:t xml:space="preserve"> ikke etablere selskapet, skal Nesseby kommune ha tilgang til dokumentene i forprosjektet, og </w:t>
      </w:r>
      <w:proofErr w:type="spellStart"/>
      <w:r w:rsidRPr="00051D1A">
        <w:t>event</w:t>
      </w:r>
      <w:proofErr w:type="spellEnd"/>
      <w:r w:rsidRPr="00051D1A">
        <w:t>. kunne benytte disse overfor andre aktører</w:t>
      </w:r>
    </w:p>
    <w:p w:rsidR="001A3DCE" w:rsidRDefault="001A3DCE" w:rsidP="001A3DCE">
      <w:pPr>
        <w:rPr>
          <w:vanish/>
          <w:color w:val="0000FF"/>
          <w:sz w:val="16"/>
          <w:szCs w:val="16"/>
        </w:rPr>
      </w:pPr>
      <w:r>
        <w:rPr>
          <w:vanish/>
          <w:color w:val="0000FF"/>
          <w:sz w:val="16"/>
          <w:szCs w:val="16"/>
        </w:rPr>
        <w:t>--- slutt på innstilling ---</w:t>
      </w:r>
    </w:p>
    <w:bookmarkEnd w:id="22"/>
    <w:p w:rsidR="001A3DCE" w:rsidRDefault="001A3DCE" w:rsidP="001A3DCE">
      <w:pPr>
        <w:pStyle w:val="Overskrift2"/>
        <w:spacing w:before="0" w:after="0"/>
        <w:rPr>
          <w:bCs w:val="0"/>
        </w:rPr>
      </w:pPr>
    </w:p>
    <w:p w:rsidR="001A3DCE" w:rsidRDefault="001A3DCE" w:rsidP="001A3DCE">
      <w:pPr>
        <w:pStyle w:val="Overskrift2"/>
      </w:pPr>
      <w:r>
        <w:t xml:space="preserve">Saksprotokoll i </w:t>
      </w:r>
      <w:proofErr w:type="spellStart"/>
      <w:r>
        <w:t>Ovdagoddi/Formannskapet</w:t>
      </w:r>
      <w:proofErr w:type="spellEnd"/>
      <w:r>
        <w:t xml:space="preserve"> - </w:t>
      </w:r>
      <w:proofErr w:type="gramStart"/>
      <w:r>
        <w:t>05.09.2013</w:t>
      </w:r>
      <w:proofErr w:type="gramEnd"/>
      <w:r>
        <w:t xml:space="preserve"> </w:t>
      </w:r>
    </w:p>
    <w:p w:rsidR="001A3DCE" w:rsidRDefault="001A3DCE" w:rsidP="001A3DCE">
      <w:r>
        <w:t>Behandling:</w:t>
      </w:r>
    </w:p>
    <w:p w:rsidR="001A3DCE" w:rsidRDefault="001A3DCE" w:rsidP="001A3DCE"/>
    <w:p w:rsidR="001A3DCE" w:rsidRDefault="001A3DCE" w:rsidP="001A3DCE">
      <w:r>
        <w:t>Administrasjonens innstilling enstemmig vedtatt.</w:t>
      </w:r>
    </w:p>
    <w:p w:rsidR="001A3DCE" w:rsidRDefault="001A3DCE" w:rsidP="001A3DCE"/>
    <w:p w:rsidR="001A3DCE" w:rsidRDefault="001A3DCE" w:rsidP="001A3DCE"/>
    <w:p w:rsidR="001A3DCE" w:rsidRDefault="001A3DCE" w:rsidP="001A3DCE">
      <w:pPr>
        <w:rPr>
          <w:b/>
        </w:rPr>
      </w:pPr>
      <w:r>
        <w:rPr>
          <w:b/>
        </w:rPr>
        <w:t>Innstillingen til kommunestyret lyder som følger</w:t>
      </w:r>
      <w:r w:rsidRPr="00BF72CF">
        <w:rPr>
          <w:b/>
        </w:rPr>
        <w:t>:</w:t>
      </w:r>
    </w:p>
    <w:p w:rsidR="001A3DCE" w:rsidRDefault="001A3DCE" w:rsidP="001A3DCE">
      <w:pPr>
        <w:rPr>
          <w:b/>
        </w:rPr>
      </w:pPr>
    </w:p>
    <w:p w:rsidR="001A3DCE" w:rsidRPr="00A4280A" w:rsidRDefault="001A3DCE" w:rsidP="001A3DCE">
      <w:pPr>
        <w:numPr>
          <w:ilvl w:val="0"/>
          <w:numId w:val="7"/>
        </w:numPr>
      </w:pPr>
      <w:r w:rsidRPr="00A4280A">
        <w:t xml:space="preserve">Nesseby kommune innvilger Nesseby smolt et tilskudd på inntil kr. 75 000,- som utgjør </w:t>
      </w:r>
      <w:proofErr w:type="gramStart"/>
      <w:r w:rsidRPr="00A4280A">
        <w:t>50%</w:t>
      </w:r>
      <w:proofErr w:type="gramEnd"/>
      <w:r w:rsidRPr="00A4280A">
        <w:t xml:space="preserve"> av </w:t>
      </w:r>
      <w:proofErr w:type="spellStart"/>
      <w:r w:rsidRPr="00A4280A">
        <w:t>godkent</w:t>
      </w:r>
      <w:proofErr w:type="spellEnd"/>
      <w:r w:rsidRPr="00A4280A">
        <w:t xml:space="preserve"> kostnadsoverslag på kr. 150 000,-</w:t>
      </w:r>
    </w:p>
    <w:p w:rsidR="001A3DCE" w:rsidRPr="00A4280A" w:rsidRDefault="001A3DCE" w:rsidP="001A3DCE">
      <w:pPr>
        <w:numPr>
          <w:ilvl w:val="0"/>
          <w:numId w:val="7"/>
        </w:numPr>
      </w:pPr>
      <w:r w:rsidRPr="00A4280A">
        <w:t>Tilskuddet belastes konto 1.24435.147056.325 – Ordinært næringsfond</w:t>
      </w:r>
    </w:p>
    <w:p w:rsidR="001A3DCE" w:rsidRPr="00A4280A" w:rsidRDefault="001A3DCE" w:rsidP="001A3DCE">
      <w:pPr>
        <w:numPr>
          <w:ilvl w:val="0"/>
          <w:numId w:val="7"/>
        </w:numPr>
      </w:pPr>
      <w:r w:rsidRPr="00A4280A">
        <w:t>Tilskuddet kan utbetales mot dokumenterte kostnader. Godkjent dokumentasjon er kvittering/faktura eller revisorgodkjent regnskap</w:t>
      </w:r>
    </w:p>
    <w:p w:rsidR="001A3DCE" w:rsidRPr="00A4280A" w:rsidRDefault="001A3DCE" w:rsidP="001A3DCE">
      <w:pPr>
        <w:numPr>
          <w:ilvl w:val="0"/>
          <w:numId w:val="7"/>
        </w:numPr>
      </w:pPr>
      <w:r w:rsidRPr="00A4280A">
        <w:t xml:space="preserve">Hvis søker velger </w:t>
      </w:r>
      <w:proofErr w:type="gramStart"/>
      <w:r w:rsidRPr="00A4280A">
        <w:t>å</w:t>
      </w:r>
      <w:proofErr w:type="gramEnd"/>
      <w:r w:rsidRPr="00A4280A">
        <w:t xml:space="preserve"> ikke etablere selskapet, skal Nesseby kommune ha tilgang til dokumentene i forprosjektet, og </w:t>
      </w:r>
      <w:proofErr w:type="spellStart"/>
      <w:r w:rsidRPr="00A4280A">
        <w:t>event</w:t>
      </w:r>
      <w:proofErr w:type="spellEnd"/>
      <w:r w:rsidRPr="00A4280A">
        <w:t>. kunne benytte disse overfor andre aktører</w:t>
      </w:r>
    </w:p>
    <w:p w:rsidR="001A3DCE" w:rsidRPr="00A4280A" w:rsidRDefault="001A3DCE" w:rsidP="001A3DCE">
      <w:pPr>
        <w:rPr>
          <w:b/>
        </w:rPr>
      </w:pPr>
    </w:p>
    <w:p w:rsidR="001A3DCE" w:rsidRDefault="001A3DCE" w:rsidP="001A3DCE"/>
    <w:p w:rsidR="001A3DCE" w:rsidRDefault="001A3DCE" w:rsidP="001A3DCE"/>
    <w:p w:rsidR="001A3DCE" w:rsidRPr="00676688" w:rsidRDefault="001A3DCE" w:rsidP="001A3DCE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1A3DCE" w:rsidRDefault="001A3DCE" w:rsidP="001A3DCE"/>
    <w:p w:rsidR="001A3DCE" w:rsidRDefault="001A3DCE" w:rsidP="001A3DCE"/>
    <w:p w:rsidR="001A3DCE" w:rsidRPr="006810C3" w:rsidRDefault="001A3DCE" w:rsidP="001A3DCE">
      <w:bookmarkStart w:id="23" w:name="ephNedMerke"/>
      <w:bookmarkEnd w:id="23"/>
    </w:p>
    <w:p w:rsidR="001A3DCE" w:rsidRDefault="001A3DCE" w:rsidP="001A3DCE">
      <w:pPr>
        <w:pStyle w:val="Overskrift2"/>
        <w:spacing w:before="0" w:after="0"/>
        <w:rPr>
          <w:bCs w:val="0"/>
        </w:rPr>
      </w:pPr>
    </w:p>
    <w:p w:rsidR="001A3DCE" w:rsidRDefault="001A3DCE" w:rsidP="001A3DCE">
      <w:pPr>
        <w:pStyle w:val="Overskrift2"/>
      </w:pPr>
      <w:r>
        <w:t>Bakgrunn for saken</w:t>
      </w:r>
    </w:p>
    <w:p w:rsidR="001A3DCE" w:rsidRDefault="001A3DCE" w:rsidP="001A3DCE">
      <w:pPr>
        <w:rPr>
          <w:sz w:val="24"/>
        </w:rPr>
      </w:pPr>
      <w:bookmarkStart w:id="24" w:name="start"/>
      <w:bookmarkEnd w:id="24"/>
      <w:r>
        <w:rPr>
          <w:sz w:val="24"/>
        </w:rPr>
        <w:t>Nesseby smolt AS har i brev av 22.05.13 søkt om tilskudd til sluttfase av forprosjekt 2 for etablering av smoltanlegg i Nesseby.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De søker om tilskudd på </w:t>
      </w:r>
      <w:proofErr w:type="gramStart"/>
      <w:r>
        <w:rPr>
          <w:sz w:val="24"/>
        </w:rPr>
        <w:t>50%</w:t>
      </w:r>
      <w:proofErr w:type="gramEnd"/>
      <w:r>
        <w:rPr>
          <w:sz w:val="24"/>
        </w:rPr>
        <w:t xml:space="preserve"> av kostnadsoverslaget på kr. 212 000,-, totalt kr. 106 000,-.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De har fått et tilbud fra </w:t>
      </w:r>
      <w:proofErr w:type="spellStart"/>
      <w:r>
        <w:rPr>
          <w:sz w:val="24"/>
        </w:rPr>
        <w:t>Sweco</w:t>
      </w:r>
      <w:proofErr w:type="spellEnd"/>
      <w:r>
        <w:rPr>
          <w:sz w:val="24"/>
        </w:rPr>
        <w:t xml:space="preserve"> pålydende kr. 144 000,- for utarbeidelse av reguleringsplan med tilhørende plankart, bestemmelser og planbeskrivelse med </w:t>
      </w:r>
      <w:proofErr w:type="spellStart"/>
      <w:r>
        <w:rPr>
          <w:sz w:val="24"/>
        </w:rPr>
        <w:t>ROS-analyse</w:t>
      </w:r>
      <w:proofErr w:type="spellEnd"/>
      <w:r>
        <w:rPr>
          <w:sz w:val="24"/>
        </w:rPr>
        <w:t>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pStyle w:val="Overskrift2"/>
      </w:pPr>
      <w:r>
        <w:t>Vurderinger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Nesseby Smolt AS har søkt om kr. 106 000,- til dekning av kostnader i forbindelse med forprosjekt 2 for etablering av smoltanlegg i Nesseby.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De har siden 2007 jobbet med å få etablert et smoltanlegg her i Nesseby, og er nå inne i sluttfasen av forprosjekteringen.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De har hatt betydelige utgifter med forprosjekteringa og søknad om konsesjon, og har også tidligere fått tilskudd på kr. 125 000,- til dette 15.05.07. Totalt har de brukt over 2 MNOK hittil i forprosjektet.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Pr="007432C6" w:rsidRDefault="001A3DCE" w:rsidP="001A3DCE">
      <w:pPr>
        <w:rPr>
          <w:b/>
          <w:sz w:val="24"/>
        </w:rPr>
      </w:pPr>
      <w:r w:rsidRPr="007432C6">
        <w:rPr>
          <w:b/>
          <w:sz w:val="24"/>
        </w:rPr>
        <w:t>Kostnadsoverslag: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De har ført opp følgende kostnadsoverslag: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Innkjøpte tjenester fra </w:t>
      </w:r>
      <w:proofErr w:type="spellStart"/>
      <w:r>
        <w:rPr>
          <w:sz w:val="24"/>
        </w:rPr>
        <w:t>Sweco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 180 000,-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Reisekostnader til 2 møter i januar og juli -13</w:t>
      </w:r>
      <w:r>
        <w:rPr>
          <w:sz w:val="24"/>
        </w:rPr>
        <w:tab/>
      </w:r>
      <w:proofErr w:type="gramStart"/>
      <w:r>
        <w:rPr>
          <w:sz w:val="24"/>
        </w:rPr>
        <w:t>kr   12</w:t>
      </w:r>
      <w:proofErr w:type="gramEnd"/>
      <w:r>
        <w:rPr>
          <w:sz w:val="24"/>
        </w:rPr>
        <w:t> 000,-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Andre eksterne kostnader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kr   20</w:t>
      </w:r>
      <w:proofErr w:type="gramEnd"/>
      <w:r>
        <w:rPr>
          <w:sz w:val="24"/>
        </w:rPr>
        <w:t> 000,-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Totalt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 212 000,-</w:t>
      </w:r>
    </w:p>
    <w:p w:rsidR="001A3DCE" w:rsidRDefault="001A3DCE" w:rsidP="001A3DCE">
      <w:pPr>
        <w:rPr>
          <w:sz w:val="24"/>
        </w:rPr>
      </w:pPr>
    </w:p>
    <w:p w:rsidR="001A3DCE" w:rsidRPr="007432C6" w:rsidRDefault="001A3DCE" w:rsidP="001A3DCE">
      <w:pPr>
        <w:rPr>
          <w:b/>
          <w:sz w:val="24"/>
        </w:rPr>
      </w:pPr>
      <w:r w:rsidRPr="007432C6">
        <w:rPr>
          <w:b/>
          <w:sz w:val="24"/>
        </w:rPr>
        <w:t>Til kostnadsoverslaget: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Det er kun kostnadene fra </w:t>
      </w:r>
      <w:proofErr w:type="spellStart"/>
      <w:r>
        <w:rPr>
          <w:sz w:val="24"/>
        </w:rPr>
        <w:t>Sweco</w:t>
      </w:r>
      <w:proofErr w:type="spellEnd"/>
      <w:r>
        <w:rPr>
          <w:sz w:val="24"/>
        </w:rPr>
        <w:t xml:space="preserve"> som er dokumentert med skriftlig tilbud.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Der er beløpet kr. 144 000,- + mva, som utgjør 180 000,-.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MVA kan ikke inngå i godkjent kostnadsoverslag, da selskapet vil få dette dekket gjennom andre ordninger og j.fr. retningslinjene for nærings- og utviklingsfond for Nesseby kommune</w:t>
      </w:r>
      <w:proofErr w:type="gramStart"/>
      <w:r>
        <w:rPr>
          <w:sz w:val="24"/>
        </w:rPr>
        <w:t xml:space="preserve"> §6</w:t>
      </w:r>
      <w:proofErr w:type="gramEnd"/>
      <w:r>
        <w:rPr>
          <w:sz w:val="24"/>
        </w:rPr>
        <w:t xml:space="preserve"> 3. avsnitt.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Reisekostnader er ført opp med kr. 12 000,- for to møter (januar og juli 2013)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Kostnadene for reisen i januar kan ikke tas med i godkjent kostnadsoverslag, da påløpte kostnader før mottatt søknad ikke kan inngå, j.fr. retningslinjene for nærings- og utviklingsfond for Nesseby kommune § 3 pkt. D.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Andre eksterne kostnader er ikke dokumentert i form av tilbud eller kvitteringer.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Saksbehandler har derfor ikke mulighet til å verifisere dette, og dette tas derfor ut av kostnadsoverslaget.</w:t>
      </w:r>
    </w:p>
    <w:p w:rsidR="001A3DCE" w:rsidRDefault="001A3DCE" w:rsidP="001A3DCE">
      <w:pPr>
        <w:rPr>
          <w:sz w:val="24"/>
        </w:rPr>
      </w:pPr>
    </w:p>
    <w:p w:rsidR="001A3DCE" w:rsidRPr="00BC3485" w:rsidRDefault="001A3DCE" w:rsidP="001A3DCE">
      <w:pPr>
        <w:rPr>
          <w:b/>
          <w:sz w:val="24"/>
        </w:rPr>
      </w:pPr>
      <w:r w:rsidRPr="00BC3485">
        <w:rPr>
          <w:b/>
          <w:sz w:val="24"/>
        </w:rPr>
        <w:t>Godkjent kostnadsoverslag blir da som følger:</w:t>
      </w:r>
    </w:p>
    <w:p w:rsidR="001A3DCE" w:rsidRDefault="001A3DCE" w:rsidP="001A3DCE">
      <w:pPr>
        <w:rPr>
          <w:sz w:val="24"/>
        </w:rPr>
      </w:pPr>
      <w:proofErr w:type="spellStart"/>
      <w:r>
        <w:rPr>
          <w:sz w:val="24"/>
        </w:rPr>
        <w:t>Sweco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 144 000,-</w:t>
      </w:r>
    </w:p>
    <w:p w:rsidR="001A3DCE" w:rsidRPr="00BC3485" w:rsidRDefault="001A3DCE" w:rsidP="001A3DCE">
      <w:pPr>
        <w:rPr>
          <w:sz w:val="24"/>
          <w:u w:val="single"/>
        </w:rPr>
      </w:pPr>
      <w:r w:rsidRPr="00BC3485">
        <w:rPr>
          <w:sz w:val="24"/>
          <w:u w:val="single"/>
        </w:rPr>
        <w:t>Reisekostnader for møte i juli -13</w:t>
      </w:r>
      <w:r w:rsidRPr="00BC3485">
        <w:rPr>
          <w:sz w:val="24"/>
          <w:u w:val="single"/>
        </w:rPr>
        <w:tab/>
      </w:r>
      <w:proofErr w:type="gramStart"/>
      <w:r w:rsidRPr="00BC3485">
        <w:rPr>
          <w:sz w:val="24"/>
          <w:u w:val="single"/>
        </w:rPr>
        <w:t>kr     6</w:t>
      </w:r>
      <w:proofErr w:type="gramEnd"/>
      <w:r w:rsidRPr="00BC3485">
        <w:rPr>
          <w:sz w:val="24"/>
          <w:u w:val="single"/>
        </w:rPr>
        <w:t> 000,-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Totalt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 150 000,-</w:t>
      </w:r>
    </w:p>
    <w:p w:rsidR="001A3DCE" w:rsidRDefault="001A3DCE" w:rsidP="001A3DCE">
      <w:pPr>
        <w:rPr>
          <w:sz w:val="24"/>
        </w:rPr>
      </w:pPr>
    </w:p>
    <w:p w:rsidR="001A3DCE" w:rsidRPr="002609B1" w:rsidRDefault="001A3DCE" w:rsidP="001A3DCE">
      <w:pPr>
        <w:rPr>
          <w:b/>
          <w:sz w:val="24"/>
        </w:rPr>
      </w:pPr>
      <w:r w:rsidRPr="002609B1">
        <w:rPr>
          <w:b/>
          <w:sz w:val="24"/>
        </w:rPr>
        <w:t>Finansiering: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lastRenderedPageBreak/>
        <w:t xml:space="preserve">De hadde i utgangspunktet søkt om en finansiering på </w:t>
      </w:r>
      <w:proofErr w:type="gramStart"/>
      <w:r>
        <w:rPr>
          <w:sz w:val="24"/>
        </w:rPr>
        <w:t>50%</w:t>
      </w:r>
      <w:proofErr w:type="gramEnd"/>
      <w:r>
        <w:rPr>
          <w:sz w:val="24"/>
        </w:rPr>
        <w:t xml:space="preserve"> av kostnadene til forprosjekteringen.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Retningslinjer for nærings- og utviklingsfond i Nesseby kommune</w:t>
      </w:r>
      <w:proofErr w:type="gramStart"/>
      <w:r>
        <w:rPr>
          <w:sz w:val="24"/>
        </w:rPr>
        <w:t xml:space="preserve"> §3</w:t>
      </w:r>
      <w:proofErr w:type="gramEnd"/>
      <w:r>
        <w:rPr>
          <w:sz w:val="24"/>
        </w:rPr>
        <w:t xml:space="preserve"> pkt. H sier følgende:</w:t>
      </w:r>
    </w:p>
    <w:p w:rsidR="001A3DCE" w:rsidRPr="00BC3485" w:rsidRDefault="001A3DCE" w:rsidP="001A3DCE">
      <w:pPr>
        <w:rPr>
          <w:i/>
          <w:sz w:val="24"/>
        </w:rPr>
      </w:pPr>
      <w:r>
        <w:rPr>
          <w:i/>
          <w:sz w:val="24"/>
        </w:rPr>
        <w:t>”</w:t>
      </w:r>
      <w:r w:rsidRPr="00BC3485">
        <w:rPr>
          <w:i/>
          <w:sz w:val="24"/>
        </w:rPr>
        <w:t xml:space="preserve">Fondene kan brukes til </w:t>
      </w:r>
      <w:proofErr w:type="spellStart"/>
      <w:r w:rsidRPr="00BC3485">
        <w:rPr>
          <w:i/>
          <w:sz w:val="24"/>
        </w:rPr>
        <w:t>delfinansiering</w:t>
      </w:r>
      <w:proofErr w:type="spellEnd"/>
      <w:r w:rsidRPr="00BC3485">
        <w:rPr>
          <w:i/>
          <w:sz w:val="24"/>
        </w:rPr>
        <w:t xml:space="preserve"> av eksterne kostnader i forbindelse med utarbeidelse av forprosjekt/forretningsplan. Det kan innvilges inntil </w:t>
      </w:r>
      <w:proofErr w:type="gramStart"/>
      <w:r w:rsidRPr="00BC3485">
        <w:rPr>
          <w:i/>
          <w:sz w:val="24"/>
        </w:rPr>
        <w:t>50%</w:t>
      </w:r>
      <w:proofErr w:type="gramEnd"/>
      <w:r w:rsidRPr="00BC3485">
        <w:rPr>
          <w:i/>
          <w:sz w:val="24"/>
        </w:rPr>
        <w:t xml:space="preserve"> og maksimalt kr. 30 000,-. Søknad om forprosjekt behandles administrativt.</w:t>
      </w:r>
      <w:r>
        <w:rPr>
          <w:i/>
          <w:sz w:val="24"/>
        </w:rPr>
        <w:t>”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Dette tilsier at vi i utgangspunktet kun kan gi </w:t>
      </w:r>
      <w:proofErr w:type="gramStart"/>
      <w:r>
        <w:rPr>
          <w:sz w:val="24"/>
        </w:rPr>
        <w:t>50%</w:t>
      </w:r>
      <w:proofErr w:type="gramEnd"/>
      <w:r>
        <w:rPr>
          <w:sz w:val="24"/>
        </w:rPr>
        <w:t xml:space="preserve"> tilskudd til dekning av eksterne kostnader og maksimalt kr. 30 000,-.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På grunn av størrelsen på etableringen, samt at denne vil medføre en betydelig sysselsettingsmessig effekt ved etableringen, bør saken behandles av kommunestyret da </w:t>
      </w:r>
      <w:proofErr w:type="spellStart"/>
      <w:r>
        <w:rPr>
          <w:sz w:val="24"/>
        </w:rPr>
        <w:t>event</w:t>
      </w:r>
      <w:proofErr w:type="spellEnd"/>
      <w:r>
        <w:rPr>
          <w:sz w:val="24"/>
        </w:rPr>
        <w:t>. tilskudd overgår beløpsgrensen, og dermed går ut over de vedtatte retningslinjene.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Retningslinjenes</w:t>
      </w:r>
      <w:proofErr w:type="gramStart"/>
      <w:r>
        <w:rPr>
          <w:sz w:val="24"/>
        </w:rPr>
        <w:t xml:space="preserve"> §3</w:t>
      </w:r>
      <w:proofErr w:type="gramEnd"/>
      <w:r>
        <w:rPr>
          <w:sz w:val="24"/>
        </w:rPr>
        <w:t xml:space="preserve"> pkt. C, siste avsnitt sier følgende:</w:t>
      </w:r>
    </w:p>
    <w:p w:rsidR="001A3DCE" w:rsidRPr="002609B1" w:rsidRDefault="001A3DCE" w:rsidP="001A3DCE">
      <w:pPr>
        <w:rPr>
          <w:i/>
          <w:sz w:val="24"/>
        </w:rPr>
      </w:pPr>
      <w:r>
        <w:rPr>
          <w:i/>
          <w:sz w:val="24"/>
        </w:rPr>
        <w:t>”</w:t>
      </w:r>
      <w:r w:rsidRPr="002609B1">
        <w:rPr>
          <w:i/>
          <w:sz w:val="24"/>
        </w:rPr>
        <w:t>Kommunestyret kan i særskilte tilfeller med stor sysselsettingsmessig verdi fravike beløpsgrensen.</w:t>
      </w:r>
      <w:r>
        <w:rPr>
          <w:i/>
          <w:sz w:val="24"/>
        </w:rPr>
        <w:t>”</w:t>
      </w:r>
    </w:p>
    <w:p w:rsidR="001A3DCE" w:rsidRDefault="001A3DCE" w:rsidP="001A3DCE">
      <w:pPr>
        <w:rPr>
          <w:sz w:val="24"/>
        </w:rPr>
      </w:pPr>
    </w:p>
    <w:p w:rsidR="001A3DCE" w:rsidRPr="002609B1" w:rsidRDefault="001A3DCE" w:rsidP="001A3DCE">
      <w:pPr>
        <w:rPr>
          <w:b/>
          <w:sz w:val="24"/>
        </w:rPr>
      </w:pPr>
      <w:r w:rsidRPr="002609B1">
        <w:rPr>
          <w:b/>
          <w:sz w:val="24"/>
        </w:rPr>
        <w:t>Tidligere innvilget tilskudd: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15.05.07 – Tilskudd til forprosjekt</w:t>
      </w:r>
      <w:r>
        <w:rPr>
          <w:sz w:val="24"/>
        </w:rPr>
        <w:tab/>
      </w:r>
      <w:r>
        <w:rPr>
          <w:sz w:val="24"/>
        </w:rPr>
        <w:tab/>
        <w:t>kr. 125 000,-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Med bakgrunn i det ovennevnte foreslår administrasjonen at søknaden innvilges med </w:t>
      </w:r>
      <w:proofErr w:type="gramStart"/>
      <w:r>
        <w:rPr>
          <w:sz w:val="24"/>
        </w:rPr>
        <w:t>50%</w:t>
      </w:r>
      <w:proofErr w:type="gramEnd"/>
      <w:r>
        <w:rPr>
          <w:sz w:val="24"/>
        </w:rPr>
        <w:t xml:space="preserve"> tilskudd av det godkjente kostnadsoverslaget med inntil kr. 75 000,-</w:t>
      </w:r>
    </w:p>
    <w:p w:rsidR="001A3DCE" w:rsidRDefault="001A3DCE" w:rsidP="001A3DCE">
      <w:pPr>
        <w:pStyle w:val="Overskrift2"/>
      </w:pPr>
      <w:r>
        <w:t>Mulige alternative løsninger og konsekvenser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Alt. A: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Søknaden avslås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Alt. B</w:t>
      </w:r>
    </w:p>
    <w:p w:rsidR="001A3DCE" w:rsidRDefault="001A3DCE" w:rsidP="001A3D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Nesseby kommune innvilger Nesseby smolt et tilskudd på inntil kr. 106 000,- som utgjør </w:t>
      </w:r>
      <w:proofErr w:type="gramStart"/>
      <w:r>
        <w:rPr>
          <w:sz w:val="24"/>
        </w:rPr>
        <w:t>50%</w:t>
      </w:r>
      <w:proofErr w:type="gramEnd"/>
      <w:r>
        <w:rPr>
          <w:sz w:val="24"/>
        </w:rPr>
        <w:t xml:space="preserve"> av opprinnelig kostnadsoverslag på kr. 212 000,-</w:t>
      </w:r>
    </w:p>
    <w:p w:rsidR="001A3DCE" w:rsidRDefault="001A3DCE" w:rsidP="001A3D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Tilskuddet belastes konto 1.24435.147056.325 – Ordinært næringsfond</w:t>
      </w:r>
    </w:p>
    <w:p w:rsidR="001A3DCE" w:rsidRPr="00922BBD" w:rsidRDefault="001A3DCE" w:rsidP="001A3DC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Tilskuddet kan utbetales mot dokumenterte kostnader. Godkjent dokumentasjon er kvittering/faktura eller revisorgodkjent regnskap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Pr="00550E98" w:rsidRDefault="001A3DCE" w:rsidP="001A3DCE">
      <w:pPr>
        <w:pStyle w:val="Sakstittel2"/>
      </w:pPr>
      <w:r>
        <w:br w:type="page"/>
      </w:r>
    </w:p>
    <w:tbl>
      <w:tblPr>
        <w:tblW w:w="10312" w:type="dxa"/>
        <w:tblInd w:w="-972" w:type="dxa"/>
        <w:tblLayout w:type="fixed"/>
        <w:tblLook w:val="00BF"/>
      </w:tblPr>
      <w:tblGrid>
        <w:gridCol w:w="1260"/>
        <w:gridCol w:w="1817"/>
        <w:gridCol w:w="1659"/>
        <w:gridCol w:w="1128"/>
        <w:gridCol w:w="76"/>
        <w:gridCol w:w="1576"/>
        <w:gridCol w:w="2796"/>
      </w:tblGrid>
      <w:tr w:rsidR="001A3DCE" w:rsidTr="00CE6155">
        <w:trPr>
          <w:trHeight w:hRule="exact" w:val="1701"/>
        </w:trPr>
        <w:tc>
          <w:tcPr>
            <w:tcW w:w="1260" w:type="dxa"/>
          </w:tcPr>
          <w:p w:rsidR="001A3DCE" w:rsidRDefault="001A3DCE" w:rsidP="00CE6155">
            <w:pPr>
              <w:pStyle w:val="Topptekst"/>
            </w:pPr>
            <w:r>
              <w:rPr>
                <w:noProof/>
              </w:rPr>
              <w:lastRenderedPageBreak/>
              <w:pict>
                <v:line id="_x0000_s1031" style="position:absolute;z-index:251662336;mso-position-horizontal-relative:page;mso-position-vertical-relative:page" from="19.85pt,280.65pt" to="31.2pt,280.7pt" o:allowincell="f">
                  <v:stroke startarrowwidth="wide" endarrowwidth="wide"/>
                  <w10:wrap anchorx="page" anchory="page"/>
                </v:line>
              </w:pict>
            </w: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732155" cy="914400"/>
                  <wp:effectExtent l="19050" t="0" r="0" b="0"/>
                  <wp:docPr id="4" name="Bilde 4" descr="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4"/>
          </w:tcPr>
          <w:p w:rsidR="001A3DCE" w:rsidRDefault="001A3DCE" w:rsidP="00CE6155">
            <w:pPr>
              <w:pStyle w:val="Overskrift5"/>
            </w:pPr>
            <w:r>
              <w:t xml:space="preserve">Unjárgga </w:t>
            </w:r>
            <w:proofErr w:type="spellStart"/>
            <w:r>
              <w:t>gielda</w:t>
            </w:r>
            <w:proofErr w:type="spellEnd"/>
            <w:r>
              <w:t>/</w:t>
            </w:r>
          </w:p>
          <w:p w:rsidR="001A3DCE" w:rsidRDefault="001A3DCE" w:rsidP="00CE6155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  <w:spacing w:val="-20"/>
                <w:sz w:val="36"/>
              </w:rPr>
              <w:t>Nesseby kommune</w:t>
            </w:r>
          </w:p>
          <w:p w:rsidR="001A3DCE" w:rsidRDefault="001A3DCE" w:rsidP="00CE6155">
            <w:r>
              <w:t>Rådmannens stab</w:t>
            </w:r>
          </w:p>
        </w:tc>
        <w:tc>
          <w:tcPr>
            <w:tcW w:w="4372" w:type="dxa"/>
            <w:gridSpan w:val="2"/>
          </w:tcPr>
          <w:p w:rsidR="001A3DCE" w:rsidRDefault="001A3DCE" w:rsidP="00CE6155">
            <w:pPr>
              <w:spacing w:before="120"/>
              <w:jc w:val="right"/>
              <w:rPr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Áššedieđut/Saksframlegg</w:t>
            </w:r>
            <w:proofErr w:type="spellEnd"/>
          </w:p>
        </w:tc>
      </w:tr>
      <w:tr w:rsidR="001A3DCE" w:rsidRPr="009B7C61" w:rsidTr="00CE6155">
        <w:trPr>
          <w:gridBefore w:val="1"/>
          <w:wBefore w:w="1260" w:type="dxa"/>
          <w:trHeight w:hRule="exact" w:val="1021"/>
        </w:trPr>
        <w:tc>
          <w:tcPr>
            <w:tcW w:w="1817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Beaivi/Dato</w:t>
            </w:r>
            <w:proofErr w:type="spellEnd"/>
          </w:p>
          <w:p w:rsidR="001A3DCE" w:rsidRDefault="001A3DCE" w:rsidP="00CE6155">
            <w:pPr>
              <w:pStyle w:val="Topptekst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4"/>
              </w:rPr>
              <w:t>Čuj./Referanse</w:t>
            </w:r>
            <w:proofErr w:type="spellEnd"/>
          </w:p>
        </w:tc>
        <w:tc>
          <w:tcPr>
            <w:tcW w:w="1659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proofErr w:type="gramStart"/>
            <w:r>
              <w:rPr>
                <w:sz w:val="24"/>
              </w:rPr>
              <w:t>08.08.2013</w:t>
            </w:r>
            <w:proofErr w:type="gramEnd"/>
          </w:p>
          <w:p w:rsidR="001A3DCE" w:rsidRDefault="001A3DCE" w:rsidP="00CE6155">
            <w:pPr>
              <w:pStyle w:val="Topptekst"/>
              <w:rPr>
                <w:sz w:val="24"/>
              </w:rPr>
            </w:pPr>
            <w:r>
              <w:rPr>
                <w:sz w:val="24"/>
              </w:rPr>
              <w:t>2013/693-0 / 084</w:t>
            </w:r>
          </w:p>
        </w:tc>
        <w:tc>
          <w:tcPr>
            <w:tcW w:w="1128" w:type="dxa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1652" w:type="dxa"/>
            <w:gridSpan w:val="2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2796" w:type="dxa"/>
          </w:tcPr>
          <w:p w:rsidR="001A3DCE" w:rsidRPr="009B7C61" w:rsidRDefault="001A3DCE" w:rsidP="00CE6155">
            <w:pPr>
              <w:pStyle w:val="Topptekst"/>
              <w:jc w:val="right"/>
              <w:rPr>
                <w:sz w:val="24"/>
              </w:rPr>
            </w:pPr>
            <w:r w:rsidRPr="009B7C61">
              <w:rPr>
                <w:sz w:val="24"/>
              </w:rPr>
              <w:t>Tom Ivar Haukland</w:t>
            </w:r>
          </w:p>
          <w:p w:rsidR="001A3DCE" w:rsidRPr="009B7C61" w:rsidRDefault="001A3DCE" w:rsidP="00CE6155">
            <w:pPr>
              <w:pStyle w:val="Topptekst"/>
              <w:jc w:val="right"/>
              <w:rPr>
                <w:sz w:val="24"/>
              </w:rPr>
            </w:pPr>
            <w:r w:rsidRPr="009B7C61">
              <w:rPr>
                <w:sz w:val="24"/>
              </w:rPr>
              <w:t>40 44 05 03</w:t>
            </w:r>
          </w:p>
          <w:p w:rsidR="001A3DCE" w:rsidRPr="009B7C61" w:rsidRDefault="001A3DCE" w:rsidP="00CE6155">
            <w:pPr>
              <w:pStyle w:val="Topptekst"/>
              <w:jc w:val="right"/>
              <w:rPr>
                <w:sz w:val="24"/>
              </w:rPr>
            </w:pPr>
            <w:r w:rsidRPr="009B7C61">
              <w:rPr>
                <w:sz w:val="24"/>
              </w:rPr>
              <w:t>tom.ivar.haukland@nesseby.kommune.no</w:t>
            </w:r>
          </w:p>
          <w:p w:rsidR="001A3DCE" w:rsidRPr="009B7C61" w:rsidRDefault="001A3DCE" w:rsidP="00CE6155">
            <w:pPr>
              <w:pStyle w:val="Topptekst"/>
              <w:jc w:val="right"/>
              <w:rPr>
                <w:sz w:val="24"/>
              </w:rPr>
            </w:pPr>
          </w:p>
        </w:tc>
      </w:tr>
    </w:tbl>
    <w:p w:rsidR="001A3DCE" w:rsidRPr="009B7C61" w:rsidRDefault="001A3DCE" w:rsidP="001A3DCE">
      <w:pPr>
        <w:jc w:val="right"/>
        <w:rPr>
          <w:b/>
        </w:rPr>
      </w:pPr>
    </w:p>
    <w:tbl>
      <w:tblPr>
        <w:tblW w:w="0" w:type="auto"/>
        <w:tblInd w:w="108" w:type="dxa"/>
        <w:tblLook w:val="00BF"/>
      </w:tblPr>
      <w:tblGrid>
        <w:gridCol w:w="3123"/>
        <w:gridCol w:w="3434"/>
        <w:gridCol w:w="2849"/>
      </w:tblGrid>
      <w:tr w:rsidR="001A3DCE" w:rsidTr="00CE6155">
        <w:tc>
          <w:tcPr>
            <w:tcW w:w="2083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pStyle w:val="Overskrift4"/>
            </w:pPr>
            <w:proofErr w:type="spellStart"/>
            <w:r>
              <w:t>Lávdegoddi/Utvalg</w:t>
            </w:r>
            <w:proofErr w:type="spellEnd"/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Čoahkkináššenr/Møtesaksnr</w:t>
            </w:r>
            <w:proofErr w:type="spellEnd"/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Čoahkkinbeaivi/Møtedato</w:t>
            </w:r>
            <w:proofErr w:type="spellEnd"/>
          </w:p>
        </w:tc>
      </w:tr>
      <w:tr w:rsidR="001A3DCE" w:rsidTr="00CE6155">
        <w:tc>
          <w:tcPr>
            <w:tcW w:w="2083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Ovdagoddi/Formannskapet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72/13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05.09.2013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Gielddastivra/Kommunestyret</w:t>
            </w:r>
            <w:proofErr w:type="spellEnd"/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39/13</w:t>
            </w: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19.09.2013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</w:tbl>
    <w:p w:rsidR="001A3DCE" w:rsidRDefault="001A3DCE" w:rsidP="001A3DCE">
      <w:r>
        <w:t>Fremtidig pensjonsordning for folkevalgte i Nesseby kommune.</w:t>
      </w:r>
    </w:p>
    <w:p w:rsidR="001A3DCE" w:rsidRDefault="001A3DCE" w:rsidP="001A3DCE"/>
    <w:p w:rsidR="001A3DCE" w:rsidRPr="009B7C61" w:rsidRDefault="001A3DCE" w:rsidP="001A3DCE">
      <w:pPr>
        <w:rPr>
          <w:b/>
        </w:rPr>
      </w:pPr>
      <w:r w:rsidRPr="009B7C61">
        <w:rPr>
          <w:b/>
        </w:rPr>
        <w:t>Administrasjonens innstilling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Alternativ 1. 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Kommunestyret går inn for at kommunens folkevalgte skal tilsluttes ordinær Tjenestepensjonsordning fra 1.1.2014.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Alternativ 2.</w:t>
      </w:r>
    </w:p>
    <w:p w:rsidR="001A3DCE" w:rsidRDefault="001A3DCE" w:rsidP="001A3DCE">
      <w:pPr>
        <w:rPr>
          <w:vanish/>
          <w:color w:val="0000FF"/>
          <w:sz w:val="16"/>
          <w:szCs w:val="16"/>
        </w:rPr>
      </w:pPr>
      <w:proofErr w:type="gramStart"/>
      <w:r>
        <w:rPr>
          <w:sz w:val="24"/>
        </w:rPr>
        <w:t>Kommunestyret  går</w:t>
      </w:r>
      <w:proofErr w:type="gramEnd"/>
      <w:r>
        <w:rPr>
          <w:sz w:val="24"/>
        </w:rPr>
        <w:t xml:space="preserve"> inn for at kommunens folkevalgte tilsluttes ”Ny” Tjenestepensjonsordning fra 1.1.2014</w:t>
      </w:r>
    </w:p>
    <w:p w:rsidR="001A3DCE" w:rsidRDefault="001A3DCE" w:rsidP="001A3DCE">
      <w:pPr>
        <w:pStyle w:val="Overskrift2"/>
        <w:spacing w:before="0" w:after="0"/>
        <w:rPr>
          <w:bCs w:val="0"/>
        </w:rPr>
      </w:pPr>
    </w:p>
    <w:p w:rsidR="001A3DCE" w:rsidRDefault="001A3DCE" w:rsidP="001A3DCE">
      <w:pPr>
        <w:pStyle w:val="Overskrift2"/>
      </w:pPr>
      <w:r>
        <w:t xml:space="preserve">Saksprotokoll i </w:t>
      </w:r>
      <w:proofErr w:type="spellStart"/>
      <w:r>
        <w:t>Ovdagoddi/Formannskapet</w:t>
      </w:r>
      <w:proofErr w:type="spellEnd"/>
      <w:r>
        <w:t xml:space="preserve"> - </w:t>
      </w:r>
      <w:proofErr w:type="gramStart"/>
      <w:r>
        <w:t>05.09.2013</w:t>
      </w:r>
      <w:proofErr w:type="gramEnd"/>
      <w:r>
        <w:t xml:space="preserve"> </w:t>
      </w:r>
    </w:p>
    <w:p w:rsidR="001A3DCE" w:rsidRDefault="001A3DCE" w:rsidP="001A3DCE">
      <w:r>
        <w:t>Behandling:</w:t>
      </w:r>
    </w:p>
    <w:p w:rsidR="001A3DCE" w:rsidRDefault="001A3DCE" w:rsidP="001A3DCE"/>
    <w:p w:rsidR="001A3DCE" w:rsidRDefault="001A3DCE" w:rsidP="001A3DCE">
      <w:r>
        <w:t>Fellesforslag:</w:t>
      </w:r>
    </w:p>
    <w:p w:rsidR="001A3DCE" w:rsidRDefault="001A3DCE" w:rsidP="001A3DCE"/>
    <w:p w:rsidR="001A3DCE" w:rsidRDefault="001A3DCE" w:rsidP="001A3DCE">
      <w:r>
        <w:t>Alt. 1</w:t>
      </w:r>
    </w:p>
    <w:p w:rsidR="001A3DCE" w:rsidRDefault="001A3DCE" w:rsidP="001A3DCE"/>
    <w:p w:rsidR="001A3DCE" w:rsidRDefault="001A3DCE" w:rsidP="001A3DCE">
      <w:r>
        <w:t>Votering:</w:t>
      </w:r>
    </w:p>
    <w:p w:rsidR="001A3DCE" w:rsidRDefault="001A3DCE" w:rsidP="001A3DCE"/>
    <w:p w:rsidR="001A3DCE" w:rsidRDefault="001A3DCE" w:rsidP="001A3DCE">
      <w:r>
        <w:t>Fellesforslag enstemmig vedtatt.</w:t>
      </w:r>
    </w:p>
    <w:p w:rsidR="001A3DCE" w:rsidRDefault="001A3DCE" w:rsidP="001A3DCE"/>
    <w:p w:rsidR="001A3DCE" w:rsidRDefault="001A3DCE" w:rsidP="001A3DCE"/>
    <w:p w:rsidR="001A3DCE" w:rsidRDefault="001A3DCE" w:rsidP="001A3DCE">
      <w:pPr>
        <w:rPr>
          <w:b/>
        </w:rPr>
      </w:pPr>
      <w:r w:rsidRPr="0052576D">
        <w:rPr>
          <w:b/>
        </w:rPr>
        <w:t>Innstillingen til kommunestyret lyder som følger:</w:t>
      </w:r>
    </w:p>
    <w:p w:rsidR="001A3DCE" w:rsidRDefault="001A3DCE" w:rsidP="001A3DCE">
      <w:pPr>
        <w:rPr>
          <w:b/>
        </w:rPr>
      </w:pPr>
    </w:p>
    <w:p w:rsidR="001A3DCE" w:rsidRPr="004059BE" w:rsidRDefault="001A3DCE" w:rsidP="001A3DCE">
      <w:r w:rsidRPr="004059BE">
        <w:t xml:space="preserve">Alternativ 1. </w:t>
      </w:r>
    </w:p>
    <w:p w:rsidR="001A3DCE" w:rsidRPr="004059BE" w:rsidRDefault="001A3DCE" w:rsidP="001A3DCE">
      <w:r w:rsidRPr="004059BE">
        <w:t xml:space="preserve">Kommunestyret går inn for at kommunens folkevalgte skal tilsluttes ordinær Tjenestepensjonsordning fra 1.1.2014.  </w:t>
      </w:r>
    </w:p>
    <w:p w:rsidR="001A3DCE" w:rsidRPr="0052576D" w:rsidRDefault="001A3DCE" w:rsidP="001A3DCE">
      <w:pPr>
        <w:rPr>
          <w:b/>
        </w:rPr>
      </w:pPr>
    </w:p>
    <w:p w:rsidR="001A3DCE" w:rsidRDefault="001A3DCE" w:rsidP="001A3DCE"/>
    <w:p w:rsidR="001A3DCE" w:rsidRDefault="001A3DCE" w:rsidP="001A3DCE"/>
    <w:p w:rsidR="001A3DCE" w:rsidRDefault="001A3DCE" w:rsidP="001A3DCE"/>
    <w:p w:rsidR="001A3DCE" w:rsidRPr="00676688" w:rsidRDefault="001A3DCE" w:rsidP="001A3DCE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1A3DCE" w:rsidRDefault="001A3DCE" w:rsidP="001A3DCE"/>
    <w:p w:rsidR="001A3DCE" w:rsidRDefault="001A3DCE" w:rsidP="001A3DCE"/>
    <w:p w:rsidR="001A3DCE" w:rsidRPr="00EF293C" w:rsidRDefault="001A3DCE" w:rsidP="001A3DCE"/>
    <w:p w:rsidR="001A3DCE" w:rsidRDefault="001A3DCE" w:rsidP="001A3DCE">
      <w:pPr>
        <w:pStyle w:val="Overskrift2"/>
      </w:pPr>
      <w:r>
        <w:t>Bakgrunn for saken</w:t>
      </w:r>
    </w:p>
    <w:p w:rsidR="001A3DCE" w:rsidRDefault="001A3DCE" w:rsidP="001A3DCE">
      <w:r w:rsidRPr="0040576A">
        <w:t>Fra 1.1.2012 ble det innført ny pensjonsordning for stortingsrepresentanter og regjeringsmedlemmer</w:t>
      </w:r>
      <w:r>
        <w:t>.</w:t>
      </w:r>
      <w:r w:rsidRPr="0040576A">
        <w:t xml:space="preserve"> </w:t>
      </w:r>
    </w:p>
    <w:p w:rsidR="001A3DCE" w:rsidRDefault="001A3DCE" w:rsidP="001A3DCE"/>
    <w:p w:rsidR="001A3DCE" w:rsidRDefault="001A3DCE" w:rsidP="001A3DCE">
      <w:r>
        <w:lastRenderedPageBreak/>
        <w:t xml:space="preserve">Fra 1.1.2014 </w:t>
      </w:r>
      <w:r w:rsidRPr="0040576A">
        <w:t>gir Arbeidsdepartementet kommuner og fylkeskommuner mulighet til å opprette samme type ordning for sine folkevalgte</w:t>
      </w:r>
      <w:r>
        <w:t xml:space="preserve">. </w:t>
      </w:r>
      <w:r w:rsidRPr="0040576A">
        <w:t>Alternativet til denne nye ordningen er den ordinære tjenestepensjonsordningen (TPO) for kommunens/fylkeskommunens ansatte</w:t>
      </w:r>
      <w:r>
        <w:t>.</w:t>
      </w:r>
      <w:r w:rsidRPr="0040576A">
        <w:t xml:space="preserve"> </w:t>
      </w:r>
    </w:p>
    <w:p w:rsidR="001A3DCE" w:rsidRDefault="001A3DCE" w:rsidP="001A3DCE"/>
    <w:p w:rsidR="001A3DCE" w:rsidRDefault="001A3DCE" w:rsidP="001A3DCE">
      <w:r w:rsidRPr="0040576A">
        <w:t xml:space="preserve">Ny folkevalgtordning bygger på prinsippene i ny folketrygd, mens TPO i sin form er tilpasset folketrygden så langt det lot seg gjøre under pensjonsreformen </w:t>
      </w:r>
    </w:p>
    <w:p w:rsidR="001A3DCE" w:rsidRDefault="001A3DCE" w:rsidP="001A3DCE"/>
    <w:p w:rsidR="001A3DCE" w:rsidRDefault="001A3DCE" w:rsidP="001A3DCE">
      <w:pPr>
        <w:rPr>
          <w:sz w:val="24"/>
        </w:rPr>
      </w:pPr>
      <w:r>
        <w:t xml:space="preserve">Både ny Hybridordning og omlegging til ordinær </w:t>
      </w:r>
      <w:proofErr w:type="spellStart"/>
      <w:r>
        <w:t>TPO-ordning</w:t>
      </w:r>
      <w:proofErr w:type="spellEnd"/>
      <w:r>
        <w:t xml:space="preserve"> innebærer en innskjerping i forhold til dagens folkevalgtordning. Ingen av de nye ordningene vil gi samme pensjon etter 16 år som det dagens ordning gjør</w:t>
      </w:r>
    </w:p>
    <w:p w:rsidR="001A3DCE" w:rsidRDefault="001A3DCE" w:rsidP="001A3DCE">
      <w:r>
        <w:t>Vurderinger</w:t>
      </w:r>
    </w:p>
    <w:p w:rsidR="001A3DCE" w:rsidRDefault="001A3DCE" w:rsidP="001A3DCE">
      <w:pPr>
        <w:rPr>
          <w:rFonts w:ascii="Calibri" w:hAnsi="Calibri" w:cs="Arial"/>
          <w:sz w:val="22"/>
          <w:szCs w:val="22"/>
        </w:rPr>
      </w:pPr>
    </w:p>
    <w:p w:rsidR="001A3DCE" w:rsidRPr="0040576A" w:rsidRDefault="001A3DCE" w:rsidP="001A3DCE">
      <w:r w:rsidRPr="0040576A">
        <w:t xml:space="preserve">Når vi skal regne på fremtidig pensjon er det mange usikre faktorer. Det er derfor viktig å huske at dette kun er eksempler som er tenkt å skulle gi et bilde av de ulike ordningene i forhold til hverandre </w:t>
      </w:r>
    </w:p>
    <w:p w:rsidR="001A3DCE" w:rsidRPr="0040576A" w:rsidRDefault="001A3DCE" w:rsidP="001A3DCE">
      <w:r w:rsidRPr="0040576A">
        <w:t xml:space="preserve">I beregningene er det sett på en person som er født i 1960, som har samme inntekt over alle år, og der årlig regulering på hybriden for hvert år er satt til å være 4 % (lønnsvekstfaktor) </w:t>
      </w:r>
    </w:p>
    <w:p w:rsidR="001A3DCE" w:rsidRPr="0040576A" w:rsidRDefault="001A3DCE" w:rsidP="001A3DCE">
      <w:r w:rsidRPr="0040576A">
        <w:t xml:space="preserve">G = 82.122 i beregningene </w:t>
      </w:r>
    </w:p>
    <w:p w:rsidR="001A3DCE" w:rsidRDefault="001A3DCE" w:rsidP="001A3DCE">
      <w:pPr>
        <w:rPr>
          <w:rFonts w:cs="Arial"/>
        </w:rPr>
      </w:pPr>
    </w:p>
    <w:p w:rsidR="001A3DCE" w:rsidRPr="004F4512" w:rsidRDefault="001A3DCE" w:rsidP="001A3DCE">
      <w:pPr>
        <w:rPr>
          <w:rFonts w:ascii="Calibri" w:hAnsi="Calibri" w:cs="Arial"/>
          <w:sz w:val="22"/>
          <w:szCs w:val="22"/>
        </w:rPr>
      </w:pPr>
      <w:r w:rsidRPr="004F4512">
        <w:rPr>
          <w:rFonts w:ascii="Calibri" w:hAnsi="Calibri" w:cs="Arial"/>
          <w:sz w:val="22"/>
          <w:szCs w:val="22"/>
        </w:rPr>
        <w:t xml:space="preserve">I realiteten vil disse faktorene svinge fra år til år, og resultatet vil da bli annerledes. Denne modellen er således </w:t>
      </w:r>
      <w:r w:rsidRPr="004F4512">
        <w:rPr>
          <w:rFonts w:ascii="Calibri" w:hAnsi="Calibri" w:cs="Arial"/>
          <w:sz w:val="22"/>
          <w:szCs w:val="22"/>
          <w:u w:val="single"/>
        </w:rPr>
        <w:t>veldig</w:t>
      </w:r>
      <w:r w:rsidRPr="004F4512">
        <w:rPr>
          <w:rFonts w:ascii="Calibri" w:hAnsi="Calibri" w:cs="Arial"/>
          <w:sz w:val="22"/>
          <w:szCs w:val="22"/>
        </w:rPr>
        <w:t xml:space="preserve"> forenklet, men er som sagt ment å brukes kun som en illustrasjon </w:t>
      </w:r>
    </w:p>
    <w:p w:rsidR="001A3DCE" w:rsidRPr="004F4512" w:rsidRDefault="001A3DCE" w:rsidP="001A3DCE">
      <w:pPr>
        <w:rPr>
          <w:rFonts w:ascii="Calibri" w:hAnsi="Calibri" w:cs="Arial"/>
          <w:sz w:val="22"/>
          <w:szCs w:val="22"/>
        </w:rPr>
      </w:pPr>
      <w:r>
        <w:rPr>
          <w:rFonts w:cs="Arial"/>
        </w:rPr>
        <w:t>Dagens folkevalgt</w:t>
      </w:r>
      <w:r w:rsidRPr="004F4512">
        <w:rPr>
          <w:rFonts w:ascii="Calibri" w:hAnsi="Calibri" w:cs="Arial"/>
          <w:sz w:val="22"/>
          <w:szCs w:val="22"/>
        </w:rPr>
        <w:t>ordning blir sett opp mot de fremtidige alternativene; Hybrid</w:t>
      </w:r>
      <w:r>
        <w:rPr>
          <w:rFonts w:cs="Arial"/>
        </w:rPr>
        <w:t>-</w:t>
      </w:r>
      <w:r w:rsidRPr="004F4512">
        <w:rPr>
          <w:rFonts w:ascii="Calibri" w:hAnsi="Calibri" w:cs="Arial"/>
          <w:sz w:val="22"/>
          <w:szCs w:val="22"/>
        </w:rPr>
        <w:t xml:space="preserve"> og TPO- ordning </w:t>
      </w:r>
    </w:p>
    <w:p w:rsidR="001A3DCE" w:rsidRPr="004F4512" w:rsidRDefault="001A3DCE" w:rsidP="001A3DCE">
      <w:pPr>
        <w:rPr>
          <w:rFonts w:ascii="Arial" w:hAnsi="Arial" w:cs="Arial"/>
          <w:sz w:val="24"/>
          <w:szCs w:val="24"/>
        </w:rPr>
      </w:pPr>
    </w:p>
    <w:p w:rsidR="001A3DCE" w:rsidRPr="004F4512" w:rsidRDefault="001A3DCE" w:rsidP="001A3DCE">
      <w:r w:rsidRPr="004F4512">
        <w:t xml:space="preserve">Det er ikke mulig med opptjening i dagens ordning etter 1.1.2014, men den er tatt med for illustrasjonens skyld </w:t>
      </w:r>
    </w:p>
    <w:p w:rsidR="001A3DCE" w:rsidRDefault="001A3DCE" w:rsidP="001A3DCE">
      <w:r w:rsidRPr="004F4512">
        <w:t xml:space="preserve">For hybrid- modellen er det lagt til grunn en prognose for delingstall fra </w:t>
      </w:r>
      <w:proofErr w:type="spellStart"/>
      <w:r w:rsidRPr="004F4512">
        <w:t>nav.no</w:t>
      </w:r>
      <w:proofErr w:type="spellEnd"/>
      <w:r w:rsidRPr="004F4512">
        <w:t xml:space="preserve">. Delingstallet er for en som er født i 1960, og som tar ut pensjon når personen fyller 65 år </w:t>
      </w:r>
    </w:p>
    <w:p w:rsidR="001A3DCE" w:rsidRDefault="001A3DCE" w:rsidP="001A3DCE"/>
    <w:p w:rsidR="001A3DCE" w:rsidRDefault="001A3DCE" w:rsidP="001A3DCE">
      <w:pPr>
        <w:rPr>
          <w:rFonts w:ascii="Verdana" w:hAnsi="Verdana"/>
          <w:i/>
          <w:iCs/>
        </w:rPr>
      </w:pPr>
      <w:r w:rsidRPr="004F4512">
        <w:t xml:space="preserve">For dagens ordning og TPO- ordningen er det netto utbetaling fra oss som viser i grafen (fratrukket beregnet folketrygd). Beregningene er gjort med forutsetning om at vedkommende har samme lønn hele karrieren, og blir stående innmeldt i ordningen. </w:t>
      </w:r>
      <w:r w:rsidRPr="004F4512">
        <w:rPr>
          <w:i/>
          <w:iCs/>
        </w:rPr>
        <w:t>Det er derfor ikke lagt til grunn noen regulering etter full opptjening</w:t>
      </w:r>
      <w:r w:rsidRPr="004F4512">
        <w:rPr>
          <w:rFonts w:ascii="Verdana" w:hAnsi="Verdana"/>
          <w:i/>
          <w:iCs/>
        </w:rPr>
        <w:t xml:space="preserve"> </w:t>
      </w:r>
    </w:p>
    <w:p w:rsidR="001A3DCE" w:rsidRDefault="001A3DCE" w:rsidP="001A3DCE">
      <w:pPr>
        <w:rPr>
          <w:rFonts w:ascii="Verdana" w:hAnsi="Verdana"/>
          <w:i/>
          <w:iCs/>
        </w:rPr>
      </w:pPr>
    </w:p>
    <w:p w:rsidR="001A3DCE" w:rsidRPr="004F4512" w:rsidRDefault="001A3DCE" w:rsidP="001A3DCE"/>
    <w:p w:rsidR="001A3DCE" w:rsidRDefault="001A3DCE" w:rsidP="001A3DCE">
      <w:pPr>
        <w:jc w:val="both"/>
      </w:pPr>
    </w:p>
    <w:p w:rsidR="001A3DCE" w:rsidRDefault="001A3DCE" w:rsidP="001A3D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</w:r>
      <w:r>
        <w:rPr>
          <w:rFonts w:ascii="Arial" w:hAnsi="Arial" w:cs="Arial"/>
          <w:color w:val="000000"/>
          <w:sz w:val="24"/>
          <w:szCs w:val="24"/>
          <w:lang w:val="en-US"/>
        </w:rPr>
        <w:pict>
          <v:group id="_x0000_s1026" editas="canvas" style="width:308.95pt;height:223.65pt;mso-position-horizontal-relative:char;mso-position-vertical-relative:line" coordsize="6179,44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9;height:447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89;top:34;width:6090;height:4187;rotation:280874fd" stroked="t">
              <v:imagedata r:id="rId7" o:title=""/>
              <v:shadow on="t" opacity=".5" offset="-6pt,6pt"/>
            </v:shape>
            <w10:wrap type="none"/>
            <w10:anchorlock/>
          </v:group>
        </w:pict>
      </w:r>
    </w:p>
    <w:p w:rsidR="001A3DCE" w:rsidRDefault="001A3DCE" w:rsidP="001A3D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A3DCE" w:rsidRPr="00051D1A" w:rsidRDefault="001A3DCE" w:rsidP="001A3DCE">
      <w:pPr>
        <w:rPr>
          <w:rFonts w:ascii="Arial" w:hAnsi="Arial"/>
          <w:b/>
          <w:color w:val="000000"/>
          <w:sz w:val="24"/>
          <w:szCs w:val="24"/>
        </w:rPr>
      </w:pPr>
      <w:r w:rsidRPr="009B7C61">
        <w:rPr>
          <w:b/>
        </w:rPr>
        <w:t xml:space="preserve">Om grafen </w:t>
      </w:r>
    </w:p>
    <w:p w:rsidR="001A3DCE" w:rsidRPr="004F4512" w:rsidRDefault="001A3DCE" w:rsidP="001A3DCE">
      <w:r w:rsidRPr="004F4512">
        <w:t xml:space="preserve">Som vi ser er det en vesentlig forskjell mellom modellene. TPO er en bruttoordning med lineær opptjening, mens hybrid- modellen gir årlig opptjening der årlig sparing og regulering gir et siktemål på 66 % pensjon etter 30 års opptjening </w:t>
      </w:r>
    </w:p>
    <w:p w:rsidR="001A3DCE" w:rsidRPr="004F4512" w:rsidRDefault="001A3DCE" w:rsidP="001A3DCE">
      <w:r w:rsidRPr="004F4512">
        <w:t xml:space="preserve">TPO- ordningen gir ingen opptjening etter 30 år. Hybrid- modellen stiger så lenge den ansatte er i arbeid (med både innskudd og regulering), og gir således en god korrelasjon mellom arbeid og pensjon. </w:t>
      </w:r>
    </w:p>
    <w:p w:rsidR="001A3DCE" w:rsidRDefault="001A3DCE" w:rsidP="001A3DCE">
      <w:r w:rsidRPr="004F4512">
        <w:t xml:space="preserve">Hybrid- modellen krysser med den ordinære TPO- ordningen etter ca. 30 år </w:t>
      </w:r>
    </w:p>
    <w:p w:rsidR="001A3DCE" w:rsidRDefault="001A3DCE" w:rsidP="001A3DCE">
      <w:r w:rsidRPr="00D928E9">
        <w:t xml:space="preserve">Det er viktig å huske på at dersom TPO- ordningen blir en oppsatt rett, vil den bli regnet på 40- deler og ikke på 30- deler som i disse beregningene. Hybriden vil da bli lønnsom på et tidligere tidspunkt </w:t>
      </w:r>
    </w:p>
    <w:p w:rsidR="001A3DCE" w:rsidRDefault="001A3DCE" w:rsidP="001A3DCE"/>
    <w:p w:rsidR="001A3DCE" w:rsidRPr="00D928E9" w:rsidRDefault="001A3DCE" w:rsidP="001A3DCE">
      <w:pPr>
        <w:rPr>
          <w:rFonts w:ascii="Arial" w:hAnsi="Arial"/>
          <w:color w:val="000000"/>
          <w:sz w:val="24"/>
          <w:szCs w:val="24"/>
        </w:rPr>
      </w:pPr>
    </w:p>
    <w:p w:rsidR="001A3DCE" w:rsidRPr="009B7C61" w:rsidRDefault="001A3DCE" w:rsidP="001A3DCE">
      <w:pPr>
        <w:rPr>
          <w:b/>
        </w:rPr>
      </w:pPr>
      <w:r w:rsidRPr="009B7C61">
        <w:rPr>
          <w:b/>
        </w:rPr>
        <w:t xml:space="preserve">Eksempel 1 </w:t>
      </w:r>
    </w:p>
    <w:p w:rsidR="001A3DCE" w:rsidRPr="00D928E9" w:rsidRDefault="001A3DCE" w:rsidP="001A3DCE">
      <w:r w:rsidRPr="00D928E9">
        <w:t xml:space="preserve">Et medlem får et verv som </w:t>
      </w:r>
      <w:proofErr w:type="gramStart"/>
      <w:r w:rsidRPr="00D928E9">
        <w:t xml:space="preserve">folkevalgt, </w:t>
      </w:r>
      <w:r>
        <w:t xml:space="preserve"> </w:t>
      </w:r>
      <w:r w:rsidRPr="00D928E9">
        <w:t>og</w:t>
      </w:r>
      <w:proofErr w:type="gramEnd"/>
      <w:r w:rsidRPr="00D928E9">
        <w:t xml:space="preserve"> blir stående i 4 år Pensjonsgrunnlaget er 7 G (574.854) Det legges til grunn en 100 % stilling </w:t>
      </w:r>
    </w:p>
    <w:p w:rsidR="001A3DCE" w:rsidRPr="00D928E9" w:rsidRDefault="001A3DCE" w:rsidP="001A3DCE">
      <w:r w:rsidRPr="00D928E9">
        <w:t xml:space="preserve">Medlemmet vil få en årlig pensjon på 16.452 i den ordinære TPO- ordningen, mens hybrid- ordningen ville gitt en årlig pensjon på 8.833 </w:t>
      </w:r>
    </w:p>
    <w:p w:rsidR="001A3DCE" w:rsidRPr="00D928E9" w:rsidRDefault="001A3DCE" w:rsidP="001A3DCE">
      <w:r w:rsidRPr="00D928E9">
        <w:t xml:space="preserve">En oppsatt rett fra TPO- ordningen regnes på 40- deler istedenfor 30- deler. Årlig pensjon ville da blitt 12.336 </w:t>
      </w:r>
    </w:p>
    <w:p w:rsidR="001A3DCE" w:rsidRDefault="001A3DCE" w:rsidP="001A3DCE">
      <w:r w:rsidRPr="00D928E9">
        <w:t xml:space="preserve">Beløpene for TPO er netto utbetaling fra tjenestepensjonen, fratrukket beregnet folketrygd </w:t>
      </w:r>
    </w:p>
    <w:p w:rsidR="001A3DCE" w:rsidRPr="00D928E9" w:rsidRDefault="001A3DCE" w:rsidP="001A3DCE"/>
    <w:p w:rsidR="001A3DCE" w:rsidRPr="009B7C61" w:rsidRDefault="001A3DCE" w:rsidP="001A3DCE">
      <w:pPr>
        <w:rPr>
          <w:b/>
        </w:rPr>
      </w:pPr>
      <w:r w:rsidRPr="009B7C61">
        <w:rPr>
          <w:b/>
        </w:rPr>
        <w:t xml:space="preserve">Eksempel 2 </w:t>
      </w:r>
    </w:p>
    <w:p w:rsidR="001A3DCE" w:rsidRPr="00D928E9" w:rsidRDefault="001A3DCE" w:rsidP="001A3DCE">
      <w:r w:rsidRPr="00D928E9">
        <w:t xml:space="preserve">Et medlem får et verv som folkevalgt, og blir stående i 8 år Pensjonsgrunnlaget er 8 G (656.976) </w:t>
      </w:r>
    </w:p>
    <w:p w:rsidR="001A3DCE" w:rsidRPr="00D928E9" w:rsidRDefault="001A3DCE" w:rsidP="001A3DCE">
      <w:r w:rsidRPr="00D928E9">
        <w:t xml:space="preserve">Det legges til grunn en 100 % stilling </w:t>
      </w:r>
    </w:p>
    <w:p w:rsidR="001A3DCE" w:rsidRPr="00D928E9" w:rsidRDefault="001A3DCE" w:rsidP="001A3DCE">
      <w:r w:rsidRPr="00D928E9">
        <w:t xml:space="preserve">Medlemmet vil få en årlig pensjon på 42.120 i den ordinære TPO- ordningen, mens hybrid- ordningen ville gitt en årlig pensjon på 29.303 </w:t>
      </w:r>
    </w:p>
    <w:p w:rsidR="001A3DCE" w:rsidRDefault="001A3DCE" w:rsidP="001A3DCE">
      <w:r w:rsidRPr="00D928E9">
        <w:t xml:space="preserve">En oppsatt rett fra TPO- ordningen regnes på 40- deler istedenfor 30- deler. Årlig pensjon ville da blitt 31.584 •Beløpene for TPO er netto utbetaling fra tjenestepensjonen, fratrukket beregnet folketrygd </w:t>
      </w:r>
    </w:p>
    <w:p w:rsidR="001A3DCE" w:rsidRPr="009B7C61" w:rsidRDefault="001A3DCE" w:rsidP="001A3DCE">
      <w:pPr>
        <w:rPr>
          <w:rFonts w:ascii="Arial" w:hAnsi="Arial"/>
          <w:b/>
          <w:color w:val="000000"/>
          <w:sz w:val="24"/>
          <w:szCs w:val="24"/>
        </w:rPr>
      </w:pPr>
    </w:p>
    <w:p w:rsidR="001A3DCE" w:rsidRPr="009B7C61" w:rsidRDefault="001A3DCE" w:rsidP="001A3DCE">
      <w:pPr>
        <w:rPr>
          <w:b/>
        </w:rPr>
      </w:pPr>
      <w:r w:rsidRPr="009B7C61">
        <w:rPr>
          <w:b/>
        </w:rPr>
        <w:t xml:space="preserve">Eksempel 3 </w:t>
      </w:r>
    </w:p>
    <w:p w:rsidR="001A3DCE" w:rsidRDefault="001A3DCE" w:rsidP="001A3DCE">
      <w:r w:rsidRPr="00D928E9">
        <w:t xml:space="preserve">Et medlem får et verv som folkevalgt, og blir stående i 12 år Pensjonsgrunnlaget er 8 G (656.976) </w:t>
      </w:r>
    </w:p>
    <w:p w:rsidR="001A3DCE" w:rsidRPr="00D928E9" w:rsidRDefault="001A3DCE" w:rsidP="001A3DCE">
      <w:r w:rsidRPr="00D928E9">
        <w:t xml:space="preserve">Det legges til grunn en 100 % stilling </w:t>
      </w:r>
    </w:p>
    <w:p w:rsidR="001A3DCE" w:rsidRPr="00D928E9" w:rsidRDefault="001A3DCE" w:rsidP="001A3DCE">
      <w:r w:rsidRPr="00D928E9">
        <w:t xml:space="preserve">Medlemmet vil få en årlig pensjon på 63.168 i den ordinære TPO- ordningen, mens hybrid- ordningen ville gitt en årlig pensjon på 47.785 </w:t>
      </w:r>
    </w:p>
    <w:p w:rsidR="001A3DCE" w:rsidRPr="00D928E9" w:rsidRDefault="001A3DCE" w:rsidP="001A3DCE">
      <w:r w:rsidRPr="00D928E9">
        <w:t xml:space="preserve">En oppsatt rett fra TPO- ordningen regnes på 40- deler istedenfor 30- deler. Årlig pensjon ville da blitt 47.376 </w:t>
      </w:r>
    </w:p>
    <w:p w:rsidR="001A3DCE" w:rsidRPr="00D928E9" w:rsidRDefault="001A3DCE" w:rsidP="001A3DCE">
      <w:r w:rsidRPr="00D928E9">
        <w:t xml:space="preserve">Beløpene for TPO er netto utbetaling fra tjenestepensjonen, fratrukket beregnet folketrygd </w:t>
      </w:r>
    </w:p>
    <w:p w:rsidR="001A3DCE" w:rsidRPr="00D928E9" w:rsidRDefault="001A3DCE" w:rsidP="001A3DCE"/>
    <w:p w:rsidR="001A3DCE" w:rsidRPr="009B7C61" w:rsidRDefault="001A3DCE" w:rsidP="001A3DCE">
      <w:pPr>
        <w:rPr>
          <w:b/>
        </w:rPr>
      </w:pPr>
      <w:r w:rsidRPr="009B7C61">
        <w:rPr>
          <w:b/>
        </w:rPr>
        <w:t xml:space="preserve">Konklusjon </w:t>
      </w:r>
    </w:p>
    <w:p w:rsidR="001A3DCE" w:rsidRPr="00D928E9" w:rsidRDefault="001A3DCE" w:rsidP="001A3DCE">
      <w:r w:rsidRPr="00D928E9">
        <w:t xml:space="preserve">Hybriden ser ut til å være best for de med lange karrierer </w:t>
      </w:r>
    </w:p>
    <w:p w:rsidR="001A3DCE" w:rsidRDefault="001A3DCE" w:rsidP="001A3DCE">
      <w:r w:rsidRPr="00D928E9">
        <w:t xml:space="preserve">Jo høyere lønn, desto raskere vil hybriden bli den mest lønnsomme </w:t>
      </w:r>
    </w:p>
    <w:p w:rsidR="001A3DCE" w:rsidRPr="00D928E9" w:rsidRDefault="001A3DCE" w:rsidP="001A3DCE">
      <w:pPr>
        <w:jc w:val="both"/>
      </w:pPr>
    </w:p>
    <w:p w:rsidR="001A3DCE" w:rsidRPr="00D928E9" w:rsidRDefault="001A3DCE" w:rsidP="001A3DCE">
      <w:pPr>
        <w:autoSpaceDE w:val="0"/>
        <w:autoSpaceDN w:val="0"/>
        <w:adjustRightInd w:val="0"/>
        <w:spacing w:after="210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noProof/>
        </w:rPr>
        <w:drawing>
          <wp:inline distT="0" distB="0" distL="0" distR="0">
            <wp:extent cx="2810151" cy="1714940"/>
            <wp:effectExtent l="323850" t="285750" r="333099" b="247210"/>
            <wp:docPr id="5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51" cy="1714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3DCE" w:rsidRPr="00D928E9" w:rsidRDefault="001A3DCE" w:rsidP="001A3DC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1514377</wp:posOffset>
            </wp:positionH>
            <wp:positionV relativeFrom="paragraph">
              <wp:posOffset>303639</wp:posOffset>
            </wp:positionV>
            <wp:extent cx="2751802" cy="2045493"/>
            <wp:effectExtent l="247650" t="285750" r="219998" b="316707"/>
            <wp:wrapNone/>
            <wp:docPr id="8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24619">
                      <a:off x="0" y="0"/>
                      <a:ext cx="2751802" cy="2045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</w:p>
    <w:p w:rsidR="001A3DCE" w:rsidRDefault="001A3DCE" w:rsidP="001A3DCE">
      <w:pPr>
        <w:rPr>
          <w:b/>
        </w:rPr>
      </w:pPr>
    </w:p>
    <w:p w:rsidR="001A3DCE" w:rsidRPr="009B7C61" w:rsidRDefault="001A3DCE" w:rsidP="001A3DCE">
      <w:pPr>
        <w:rPr>
          <w:b/>
        </w:rPr>
      </w:pPr>
      <w:r w:rsidRPr="009B7C61">
        <w:rPr>
          <w:b/>
        </w:rPr>
        <w:t xml:space="preserve">Om valget som må tas </w:t>
      </w:r>
    </w:p>
    <w:p w:rsidR="001A3DCE" w:rsidRPr="00524D74" w:rsidRDefault="001A3DCE" w:rsidP="001A3DCE">
      <w:r w:rsidRPr="00524D74">
        <w:t xml:space="preserve">Kommuner og fylkeskommuner er bedt om å ta et valg innen utgangen av oktober om hvilken ordning de folkevalgte skal inn i </w:t>
      </w:r>
    </w:p>
    <w:p w:rsidR="001A3DCE" w:rsidRDefault="001A3DCE" w:rsidP="001A3DCE"/>
    <w:p w:rsidR="001A3DCE" w:rsidRPr="00524D74" w:rsidRDefault="001A3DCE" w:rsidP="001A3DCE">
      <w:r w:rsidRPr="00524D74">
        <w:t xml:space="preserve">DNB Livsforsikring ASA besluttet i styremøte 5. juni 2013 en avvikling av forretningsområde for offentlige tjenestepensjonsprodukter </w:t>
      </w:r>
    </w:p>
    <w:p w:rsidR="001A3DCE" w:rsidRDefault="001A3DCE" w:rsidP="001A3DCE"/>
    <w:p w:rsidR="001A3DCE" w:rsidRPr="00524D74" w:rsidRDefault="001A3DCE" w:rsidP="001A3DCE">
      <w:r w:rsidRPr="00524D74">
        <w:t xml:space="preserve">Som følge av den beslutningen så kommer vi ikke til å tilby nytt produkt for folkevalgte </w:t>
      </w:r>
    </w:p>
    <w:p w:rsidR="001A3DCE" w:rsidRDefault="001A3DCE" w:rsidP="001A3DCE"/>
    <w:p w:rsidR="001A3DCE" w:rsidRPr="00524D74" w:rsidRDefault="001A3DCE" w:rsidP="001A3DCE">
      <w:r w:rsidRPr="00524D74">
        <w:t xml:space="preserve">Kunder som ønsker ny ordning for sine folkevalgte, må derfor ta kontakt med KLP. </w:t>
      </w:r>
    </w:p>
    <w:p w:rsidR="001A3DCE" w:rsidRDefault="001A3DCE" w:rsidP="001A3DCE"/>
    <w:p w:rsidR="001A3DCE" w:rsidRDefault="001A3DCE" w:rsidP="001A3DCE">
      <w:pPr>
        <w:rPr>
          <w:sz w:val="24"/>
        </w:rPr>
      </w:pPr>
      <w:r w:rsidRPr="00524D74">
        <w:t>Kunder som ønsker sine folkevalgte inn i den ordinære TPO- avtalen, kan gjøre det hos DNB Liv</w:t>
      </w:r>
    </w:p>
    <w:p w:rsidR="001A3DCE" w:rsidRDefault="001A3DCE" w:rsidP="001A3DCE"/>
    <w:p w:rsidR="001A3DCE" w:rsidRPr="009B7C61" w:rsidRDefault="001A3DCE" w:rsidP="001A3DCE">
      <w:pPr>
        <w:rPr>
          <w:b/>
          <w:sz w:val="24"/>
          <w:szCs w:val="24"/>
        </w:rPr>
      </w:pPr>
      <w:r w:rsidRPr="009B7C61">
        <w:rPr>
          <w:b/>
          <w:sz w:val="24"/>
          <w:szCs w:val="24"/>
        </w:rPr>
        <w:t>Mulige alternative løsninger og konsekvenser</w:t>
      </w:r>
    </w:p>
    <w:p w:rsidR="001A3DCE" w:rsidRDefault="001A3DCE" w:rsidP="001A3DCE"/>
    <w:p w:rsidR="001A3DCE" w:rsidRPr="009B7C61" w:rsidRDefault="001A3DCE" w:rsidP="001A3DCE">
      <w:r>
        <w:t xml:space="preserve">Kommunestyret må velge en av de to ordningene.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Pr="00550E98" w:rsidRDefault="001A3DCE" w:rsidP="001A3DCE">
      <w:pPr>
        <w:pStyle w:val="Sakstittel2"/>
      </w:pPr>
      <w:r>
        <w:br w:type="page"/>
      </w:r>
    </w:p>
    <w:tbl>
      <w:tblPr>
        <w:tblW w:w="10312" w:type="dxa"/>
        <w:tblInd w:w="-972" w:type="dxa"/>
        <w:tblLayout w:type="fixed"/>
        <w:tblLook w:val="00BF"/>
      </w:tblPr>
      <w:tblGrid>
        <w:gridCol w:w="1260"/>
        <w:gridCol w:w="1817"/>
        <w:gridCol w:w="1659"/>
        <w:gridCol w:w="1128"/>
        <w:gridCol w:w="76"/>
        <w:gridCol w:w="1576"/>
        <w:gridCol w:w="2796"/>
      </w:tblGrid>
      <w:tr w:rsidR="001A3DCE" w:rsidTr="00CE6155">
        <w:trPr>
          <w:trHeight w:hRule="exact" w:val="1701"/>
        </w:trPr>
        <w:tc>
          <w:tcPr>
            <w:tcW w:w="1260" w:type="dxa"/>
          </w:tcPr>
          <w:p w:rsidR="001A3DCE" w:rsidRDefault="001A3DCE" w:rsidP="00CE6155">
            <w:pPr>
              <w:pStyle w:val="Topptekst"/>
            </w:pPr>
            <w:r>
              <w:rPr>
                <w:noProof/>
              </w:rPr>
              <w:lastRenderedPageBreak/>
              <w:pict>
                <v:line id="_x0000_s1033" style="position:absolute;z-index:251664384;mso-position-horizontal-relative:page;mso-position-vertical-relative:page" from="19.85pt,280.65pt" to="31.2pt,280.7pt" o:allowincell="f">
                  <v:stroke startarrowwidth="wide" endarrowwidth="wide"/>
                  <w10:wrap anchorx="page" anchory="page"/>
                </v:line>
              </w:pict>
            </w: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732155" cy="914400"/>
                  <wp:effectExtent l="19050" t="0" r="0" b="0"/>
                  <wp:docPr id="6" name="Bilde 6" descr="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4"/>
          </w:tcPr>
          <w:p w:rsidR="001A3DCE" w:rsidRDefault="001A3DCE" w:rsidP="00CE6155">
            <w:pPr>
              <w:pStyle w:val="Overskrift5"/>
            </w:pPr>
            <w:r>
              <w:t xml:space="preserve">Unjárgga </w:t>
            </w:r>
            <w:proofErr w:type="spellStart"/>
            <w:r>
              <w:t>gielda</w:t>
            </w:r>
            <w:proofErr w:type="spellEnd"/>
            <w:r>
              <w:t>/</w:t>
            </w:r>
          </w:p>
          <w:p w:rsidR="001A3DCE" w:rsidRDefault="001A3DCE" w:rsidP="00CE6155">
            <w:pPr>
              <w:spacing w:before="120"/>
              <w:rPr>
                <w:b/>
                <w:sz w:val="24"/>
              </w:rPr>
            </w:pPr>
            <w:r>
              <w:rPr>
                <w:b/>
                <w:bCs/>
                <w:spacing w:val="-20"/>
                <w:sz w:val="36"/>
              </w:rPr>
              <w:t>Nesseby kommune</w:t>
            </w:r>
          </w:p>
          <w:p w:rsidR="001A3DCE" w:rsidRDefault="001A3DCE" w:rsidP="00CE6155">
            <w:r>
              <w:t>Teknisk</w:t>
            </w:r>
          </w:p>
        </w:tc>
        <w:tc>
          <w:tcPr>
            <w:tcW w:w="4372" w:type="dxa"/>
            <w:gridSpan w:val="2"/>
          </w:tcPr>
          <w:p w:rsidR="001A3DCE" w:rsidRDefault="001A3DCE" w:rsidP="00CE6155">
            <w:pPr>
              <w:spacing w:before="120"/>
              <w:jc w:val="right"/>
              <w:rPr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Áššedieđut/Saksframlegg</w:t>
            </w:r>
            <w:proofErr w:type="spellEnd"/>
          </w:p>
        </w:tc>
      </w:tr>
      <w:tr w:rsidR="001A3DCE" w:rsidTr="00CE6155">
        <w:trPr>
          <w:gridBefore w:val="1"/>
          <w:wBefore w:w="1260" w:type="dxa"/>
          <w:trHeight w:hRule="exact" w:val="1021"/>
        </w:trPr>
        <w:tc>
          <w:tcPr>
            <w:tcW w:w="1817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Beaivi/Dato</w:t>
            </w:r>
            <w:proofErr w:type="spellEnd"/>
          </w:p>
          <w:p w:rsidR="001A3DCE" w:rsidRDefault="001A3DCE" w:rsidP="00CE6155">
            <w:pPr>
              <w:pStyle w:val="Topptekst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4"/>
              </w:rPr>
              <w:t>Čuj./Referanse</w:t>
            </w:r>
            <w:proofErr w:type="spellEnd"/>
          </w:p>
        </w:tc>
        <w:tc>
          <w:tcPr>
            <w:tcW w:w="1659" w:type="dxa"/>
          </w:tcPr>
          <w:p w:rsidR="001A3DCE" w:rsidRDefault="001A3DCE" w:rsidP="00CE6155">
            <w:pPr>
              <w:pStyle w:val="Topptekst"/>
              <w:rPr>
                <w:sz w:val="24"/>
              </w:rPr>
            </w:pPr>
            <w:r>
              <w:rPr>
                <w:sz w:val="24"/>
              </w:rPr>
              <w:t>20.08.2013</w:t>
            </w:r>
          </w:p>
          <w:p w:rsidR="001A3DCE" w:rsidRDefault="001A3DCE" w:rsidP="00CE6155">
            <w:pPr>
              <w:pStyle w:val="Topptekst"/>
              <w:rPr>
                <w:sz w:val="24"/>
              </w:rPr>
            </w:pPr>
            <w:r>
              <w:rPr>
                <w:sz w:val="24"/>
              </w:rPr>
              <w:t>2013/660-0 / 614</w:t>
            </w:r>
          </w:p>
        </w:tc>
        <w:tc>
          <w:tcPr>
            <w:tcW w:w="1128" w:type="dxa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1652" w:type="dxa"/>
            <w:gridSpan w:val="2"/>
          </w:tcPr>
          <w:p w:rsidR="001A3DCE" w:rsidRDefault="001A3DCE" w:rsidP="00CE6155">
            <w:pPr>
              <w:pStyle w:val="Topptekst"/>
              <w:rPr>
                <w:sz w:val="20"/>
              </w:rPr>
            </w:pPr>
          </w:p>
        </w:tc>
        <w:tc>
          <w:tcPr>
            <w:tcW w:w="2796" w:type="dxa"/>
          </w:tcPr>
          <w:p w:rsidR="001A3DCE" w:rsidRDefault="001A3DCE" w:rsidP="00CE6155">
            <w:pPr>
              <w:pStyle w:val="Topptekst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Oddleif Nilsen</w:t>
            </w:r>
          </w:p>
          <w:p w:rsidR="001A3DCE" w:rsidRDefault="001A3DCE" w:rsidP="00CE6155">
            <w:pPr>
              <w:pStyle w:val="Topptekst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40 44 05 22</w:t>
            </w:r>
          </w:p>
          <w:p w:rsidR="001A3DCE" w:rsidRDefault="001A3DCE" w:rsidP="00CE6155">
            <w:pPr>
              <w:pStyle w:val="Topptekst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oddleif.nilsen@nesseby.kommune.no</w:t>
            </w:r>
          </w:p>
          <w:p w:rsidR="001A3DCE" w:rsidRDefault="001A3DCE" w:rsidP="00CE6155">
            <w:pPr>
              <w:pStyle w:val="Topptekst"/>
              <w:jc w:val="right"/>
              <w:rPr>
                <w:sz w:val="24"/>
                <w:lang w:val="en-GB"/>
              </w:rPr>
            </w:pPr>
          </w:p>
        </w:tc>
      </w:tr>
    </w:tbl>
    <w:p w:rsidR="001A3DCE" w:rsidRDefault="001A3DCE" w:rsidP="001A3DCE">
      <w:pPr>
        <w:jc w:val="right"/>
        <w:rPr>
          <w:b/>
          <w:lang w:val="en-GB"/>
        </w:rPr>
      </w:pPr>
    </w:p>
    <w:tbl>
      <w:tblPr>
        <w:tblW w:w="0" w:type="auto"/>
        <w:tblInd w:w="108" w:type="dxa"/>
        <w:tblLook w:val="00BF"/>
      </w:tblPr>
      <w:tblGrid>
        <w:gridCol w:w="3123"/>
        <w:gridCol w:w="3434"/>
        <w:gridCol w:w="2849"/>
      </w:tblGrid>
      <w:tr w:rsidR="001A3DCE" w:rsidTr="00CE6155">
        <w:tc>
          <w:tcPr>
            <w:tcW w:w="2083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pStyle w:val="Overskrift4"/>
            </w:pPr>
            <w:proofErr w:type="spellStart"/>
            <w:r>
              <w:t>Lávdegoddi/Utvalg</w:t>
            </w:r>
            <w:proofErr w:type="spellEnd"/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Čoahkkináššenr/Møtesaksnr</w:t>
            </w:r>
            <w:proofErr w:type="spellEnd"/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Čoahkkinbeaivi/Møtedato</w:t>
            </w:r>
            <w:proofErr w:type="spellEnd"/>
          </w:p>
        </w:tc>
      </w:tr>
      <w:tr w:rsidR="001A3DCE" w:rsidTr="00CE6155">
        <w:tc>
          <w:tcPr>
            <w:tcW w:w="2083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Ovdagoddi/Formannskapet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66/13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05.09.2013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Ovdagoddi/Formannskapet</w:t>
            </w:r>
            <w:proofErr w:type="spellEnd"/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17.09.2013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Gielddastivra/Kommunestyret</w:t>
            </w:r>
            <w:proofErr w:type="spellEnd"/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  <w:r>
              <w:rPr>
                <w:sz w:val="24"/>
              </w:rPr>
              <w:t>40/13</w:t>
            </w: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19.09.2013</w:t>
            </w:r>
            <w:proofErr w:type="gramEnd"/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  <w:tr w:rsidR="001A3DCE" w:rsidTr="00CE6155">
        <w:tc>
          <w:tcPr>
            <w:tcW w:w="2083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4264" w:type="dxa"/>
          </w:tcPr>
          <w:p w:rsidR="001A3DCE" w:rsidRDefault="001A3DCE" w:rsidP="00CE6155">
            <w:pPr>
              <w:rPr>
                <w:sz w:val="24"/>
              </w:rPr>
            </w:pPr>
          </w:p>
        </w:tc>
        <w:tc>
          <w:tcPr>
            <w:tcW w:w="3059" w:type="dxa"/>
          </w:tcPr>
          <w:p w:rsidR="001A3DCE" w:rsidRDefault="001A3DCE" w:rsidP="00CE6155">
            <w:pPr>
              <w:rPr>
                <w:sz w:val="24"/>
              </w:rPr>
            </w:pPr>
          </w:p>
        </w:tc>
      </w:tr>
    </w:tbl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pStyle w:val="Sakstittel1"/>
      </w:pPr>
      <w:r>
        <w:t>Finansiering av lagerhall for teknisk avdeling</w:t>
      </w:r>
    </w:p>
    <w:p w:rsidR="001A3DCE" w:rsidRDefault="001A3DCE" w:rsidP="001A3DCE">
      <w:pPr>
        <w:pStyle w:val="Overskrift2"/>
      </w:pPr>
      <w:r>
        <w:t>Administrasjonens innstilling</w:t>
      </w:r>
    </w:p>
    <w:p w:rsidR="001A3DCE" w:rsidRDefault="001A3DCE" w:rsidP="001A3DC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Nesseby kommune vedtar å kjøpe inn lagerhall til teknisk, uteseksjonen med en kostnad inntil kr. 400.000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ind w:firstLine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Tiltaket</w:t>
      </w:r>
      <w:r w:rsidRPr="002A44EF">
        <w:rPr>
          <w:sz w:val="24"/>
        </w:rPr>
        <w:t xml:space="preserve"> </w:t>
      </w:r>
      <w:r>
        <w:rPr>
          <w:sz w:val="24"/>
        </w:rPr>
        <w:t>finansieres slik</w:t>
      </w:r>
    </w:p>
    <w:p w:rsidR="001A3DCE" w:rsidRDefault="001A3DCE" w:rsidP="001A3DCE">
      <w:pPr>
        <w:ind w:firstLine="708"/>
        <w:rPr>
          <w:sz w:val="24"/>
        </w:rPr>
      </w:pPr>
      <w:r>
        <w:rPr>
          <w:sz w:val="24"/>
        </w:rPr>
        <w:t>Bruk av disposisjonsfond</w:t>
      </w:r>
      <w:r>
        <w:rPr>
          <w:sz w:val="24"/>
        </w:rPr>
        <w:tab/>
      </w:r>
      <w:r>
        <w:rPr>
          <w:sz w:val="24"/>
        </w:rPr>
        <w:tab/>
        <w:t>kr. 320.000</w:t>
      </w:r>
    </w:p>
    <w:p w:rsidR="001A3DCE" w:rsidRDefault="001A3DCE" w:rsidP="001A3DCE">
      <w:pPr>
        <w:ind w:firstLine="708"/>
        <w:rPr>
          <w:sz w:val="24"/>
        </w:rPr>
      </w:pPr>
      <w:r>
        <w:rPr>
          <w:sz w:val="24"/>
        </w:rPr>
        <w:t>Bruke av mva. komp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2A44EF">
        <w:rPr>
          <w:sz w:val="24"/>
          <w:u w:val="single"/>
        </w:rPr>
        <w:t>kr.   80</w:t>
      </w:r>
      <w:proofErr w:type="gramEnd"/>
      <w:r w:rsidRPr="002A44EF">
        <w:rPr>
          <w:sz w:val="24"/>
          <w:u w:val="single"/>
        </w:rPr>
        <w:t>.000</w:t>
      </w:r>
      <w:r>
        <w:rPr>
          <w:sz w:val="24"/>
        </w:rPr>
        <w:t xml:space="preserve"> </w:t>
      </w:r>
    </w:p>
    <w:p w:rsidR="001A3DCE" w:rsidRDefault="001A3DCE" w:rsidP="001A3DCE">
      <w:pPr>
        <w:ind w:firstLine="708"/>
        <w:rPr>
          <w:sz w:val="24"/>
        </w:rPr>
      </w:pPr>
      <w:r>
        <w:rPr>
          <w:sz w:val="24"/>
        </w:rPr>
        <w:t>Sum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400.000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Rådmannen gis fullmakt til å innarbeide dette i budsjett/regnskap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vanish/>
          <w:color w:val="0000FF"/>
          <w:sz w:val="16"/>
          <w:szCs w:val="16"/>
        </w:rPr>
      </w:pPr>
      <w:r>
        <w:rPr>
          <w:vanish/>
          <w:color w:val="0000FF"/>
          <w:sz w:val="16"/>
          <w:szCs w:val="16"/>
        </w:rPr>
        <w:t>--- slutt på innstilling ---</w:t>
      </w:r>
    </w:p>
    <w:p w:rsidR="001A3DCE" w:rsidRDefault="001A3DCE" w:rsidP="001A3DCE">
      <w:pPr>
        <w:pStyle w:val="Overskrift2"/>
      </w:pPr>
    </w:p>
    <w:p w:rsidR="001A3DCE" w:rsidRDefault="001A3DCE" w:rsidP="001A3DCE">
      <w:pPr>
        <w:pStyle w:val="Overskrift2"/>
      </w:pPr>
      <w:r>
        <w:t xml:space="preserve">Saksprotokoll i </w:t>
      </w:r>
      <w:proofErr w:type="spellStart"/>
      <w:r>
        <w:t>Ovdagoddi/Formannskapet</w:t>
      </w:r>
      <w:proofErr w:type="spellEnd"/>
      <w:r>
        <w:t xml:space="preserve"> - </w:t>
      </w:r>
      <w:proofErr w:type="gramStart"/>
      <w:r>
        <w:t>05.09.2013</w:t>
      </w:r>
      <w:proofErr w:type="gramEnd"/>
      <w:r>
        <w:t xml:space="preserve"> </w:t>
      </w:r>
    </w:p>
    <w:p w:rsidR="001A3DCE" w:rsidRDefault="001A3DCE" w:rsidP="001A3DCE">
      <w:r>
        <w:t>Behandling:</w:t>
      </w:r>
    </w:p>
    <w:p w:rsidR="001A3DCE" w:rsidRDefault="001A3DCE" w:rsidP="001A3DCE"/>
    <w:p w:rsidR="001A3DCE" w:rsidRDefault="001A3DCE" w:rsidP="001A3DCE">
      <w:r>
        <w:t>Knut Store ba formannskapet vurdere hans habilitet pga familieforhold til en i styret i Nesseby Maskin.</w:t>
      </w:r>
    </w:p>
    <w:p w:rsidR="001A3DCE" w:rsidRDefault="001A3DCE" w:rsidP="001A3DCE">
      <w:r>
        <w:t>Formannskapet erklærte han innhabil og han fratrådte under behandling av denne saken.</w:t>
      </w:r>
    </w:p>
    <w:p w:rsidR="001A3DCE" w:rsidRDefault="001A3DCE" w:rsidP="001A3DCE"/>
    <w:p w:rsidR="001A3DCE" w:rsidRDefault="001A3DCE" w:rsidP="001A3DCE">
      <w:r>
        <w:t>Forslag fra Jarle Andreassen:</w:t>
      </w:r>
    </w:p>
    <w:p w:rsidR="001A3DCE" w:rsidRDefault="001A3DCE" w:rsidP="001A3DCE"/>
    <w:p w:rsidR="001A3DCE" w:rsidRDefault="001A3DCE" w:rsidP="001A3DCE">
      <w:r>
        <w:t>Saken utsettes til neste møte 17.09.13.</w:t>
      </w:r>
    </w:p>
    <w:p w:rsidR="001A3DCE" w:rsidRDefault="001A3DCE" w:rsidP="001A3DCE"/>
    <w:p w:rsidR="001A3DCE" w:rsidRDefault="001A3DCE" w:rsidP="001A3DCE">
      <w:r>
        <w:t>Følgende opplysninger må innhentes:</w:t>
      </w:r>
    </w:p>
    <w:p w:rsidR="001A3DCE" w:rsidRDefault="001A3DCE" w:rsidP="001A3DCE"/>
    <w:p w:rsidR="001A3DCE" w:rsidRDefault="001A3DCE" w:rsidP="001A3DCE">
      <w:pPr>
        <w:numPr>
          <w:ilvl w:val="0"/>
          <w:numId w:val="5"/>
        </w:numPr>
      </w:pPr>
      <w:r>
        <w:t>Årlig driftskostnader lagerhall.</w:t>
      </w:r>
    </w:p>
    <w:p w:rsidR="001A3DCE" w:rsidRDefault="001A3DCE" w:rsidP="001A3DCE">
      <w:pPr>
        <w:numPr>
          <w:ilvl w:val="0"/>
          <w:numId w:val="5"/>
        </w:numPr>
      </w:pPr>
      <w:r>
        <w:t>Forhandling med eksterne vedr. husleie – lagerhall.</w:t>
      </w:r>
    </w:p>
    <w:p w:rsidR="001A3DCE" w:rsidRDefault="001A3DCE" w:rsidP="001A3DCE">
      <w:pPr>
        <w:numPr>
          <w:ilvl w:val="0"/>
          <w:numId w:val="5"/>
        </w:numPr>
      </w:pPr>
      <w:r>
        <w:t>Fremtidig løsning brannbilgarasje.</w:t>
      </w:r>
    </w:p>
    <w:p w:rsidR="001A3DCE" w:rsidRDefault="001A3DCE" w:rsidP="001A3DCE"/>
    <w:p w:rsidR="001A3DCE" w:rsidRDefault="001A3DCE" w:rsidP="001A3DCE">
      <w:r>
        <w:t>Votering:</w:t>
      </w:r>
    </w:p>
    <w:p w:rsidR="001A3DCE" w:rsidRDefault="001A3DCE" w:rsidP="001A3DCE"/>
    <w:p w:rsidR="001A3DCE" w:rsidRDefault="001A3DCE" w:rsidP="001A3DCE">
      <w:r>
        <w:t>Jarle Andreassens forslag enstemmig vedtatt.</w:t>
      </w:r>
    </w:p>
    <w:p w:rsidR="001A3DCE" w:rsidRDefault="001A3DCE" w:rsidP="001A3DCE"/>
    <w:p w:rsidR="001A3DCE" w:rsidRDefault="001A3DCE" w:rsidP="001A3DCE"/>
    <w:p w:rsidR="001A3DCE" w:rsidRDefault="001A3DCE" w:rsidP="001A3DCE">
      <w:pPr>
        <w:rPr>
          <w:b/>
        </w:rPr>
      </w:pPr>
      <w:r w:rsidRPr="00E53CDC">
        <w:rPr>
          <w:b/>
        </w:rPr>
        <w:t>Formannskapets vedtak lyder som følger:</w:t>
      </w:r>
    </w:p>
    <w:p w:rsidR="001A3DCE" w:rsidRDefault="001A3DCE" w:rsidP="001A3DCE">
      <w:pPr>
        <w:rPr>
          <w:b/>
        </w:rPr>
      </w:pPr>
    </w:p>
    <w:p w:rsidR="001A3DCE" w:rsidRDefault="001A3DCE" w:rsidP="001A3DCE">
      <w:r>
        <w:t>Saken utsettes til neste møte 17.09.13.</w:t>
      </w:r>
    </w:p>
    <w:p w:rsidR="001A3DCE" w:rsidRDefault="001A3DCE" w:rsidP="001A3DCE"/>
    <w:p w:rsidR="001A3DCE" w:rsidRDefault="001A3DCE" w:rsidP="001A3DCE">
      <w:r>
        <w:t>Følgende opplysninger må innhentes:</w:t>
      </w:r>
    </w:p>
    <w:p w:rsidR="001A3DCE" w:rsidRDefault="001A3DCE" w:rsidP="001A3DCE"/>
    <w:p w:rsidR="001A3DCE" w:rsidRDefault="001A3DCE" w:rsidP="001A3DCE">
      <w:pPr>
        <w:numPr>
          <w:ilvl w:val="0"/>
          <w:numId w:val="6"/>
        </w:numPr>
      </w:pPr>
      <w:r>
        <w:t>Årlig driftskostnader lagerhall.</w:t>
      </w:r>
    </w:p>
    <w:p w:rsidR="001A3DCE" w:rsidRDefault="001A3DCE" w:rsidP="001A3DCE">
      <w:pPr>
        <w:numPr>
          <w:ilvl w:val="0"/>
          <w:numId w:val="6"/>
        </w:numPr>
      </w:pPr>
      <w:r>
        <w:t>Forhandling med eksterne vedr. husleie – lagerhall.</w:t>
      </w:r>
    </w:p>
    <w:p w:rsidR="001A3DCE" w:rsidRDefault="001A3DCE" w:rsidP="001A3DCE">
      <w:pPr>
        <w:numPr>
          <w:ilvl w:val="0"/>
          <w:numId w:val="6"/>
        </w:numPr>
      </w:pPr>
      <w:r>
        <w:t>Fremtidig løsning brannbilgarasje.</w:t>
      </w:r>
    </w:p>
    <w:p w:rsidR="001A3DCE" w:rsidRPr="00E53CDC" w:rsidRDefault="001A3DCE" w:rsidP="001A3DCE">
      <w:pPr>
        <w:rPr>
          <w:b/>
        </w:rPr>
      </w:pPr>
    </w:p>
    <w:p w:rsidR="001A3DCE" w:rsidRDefault="001A3DCE" w:rsidP="001A3DCE"/>
    <w:p w:rsidR="001A3DCE" w:rsidRDefault="001A3DCE" w:rsidP="001A3DCE"/>
    <w:p w:rsidR="001A3DCE" w:rsidRPr="00676688" w:rsidRDefault="001A3DCE" w:rsidP="001A3DCE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1A3DCE" w:rsidRDefault="001A3DCE" w:rsidP="001A3DCE"/>
    <w:p w:rsidR="001A3DCE" w:rsidRDefault="001A3DCE" w:rsidP="001A3DCE">
      <w:pPr>
        <w:pStyle w:val="Overskrift2"/>
      </w:pPr>
    </w:p>
    <w:p w:rsidR="001A3DCE" w:rsidRDefault="001A3DCE" w:rsidP="001A3DCE">
      <w:pPr>
        <w:pStyle w:val="Overskrift2"/>
      </w:pPr>
      <w:r>
        <w:t>Bakgrunn for saken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Teknisk har vært uten en lagerhall siden ”hangaren” ble solgt.  I tillegg er kommunebrakka solgt.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Teknisk har flyttet utstyr og maskiner til forskjellige plasser, noe lagres midlertidig i </w:t>
      </w:r>
      <w:proofErr w:type="spellStart"/>
      <w:r>
        <w:rPr>
          <w:sz w:val="24"/>
        </w:rPr>
        <w:t>Karlebotn</w:t>
      </w:r>
      <w:proofErr w:type="spellEnd"/>
      <w:r>
        <w:rPr>
          <w:sz w:val="24"/>
        </w:rPr>
        <w:t xml:space="preserve"> skole, noe i bibliotekbussgarasjen, noe i brakker og containere og noe i Oppvekstsenteret.  En god del større utstyr, så som rør/kummer m.m. lagres utendørs.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Ved at utstyr er spredt på denne måten skaper dette problemer for driften.  Det er ofte vanskelig å finne utstyret det til enhver tid er behov for.  På vinteren er utstyret som lagres </w:t>
      </w:r>
      <w:proofErr w:type="gramStart"/>
      <w:r>
        <w:rPr>
          <w:sz w:val="24"/>
        </w:rPr>
        <w:t>utendørs  dekket</w:t>
      </w:r>
      <w:proofErr w:type="gramEnd"/>
      <w:r>
        <w:rPr>
          <w:sz w:val="24"/>
        </w:rPr>
        <w:t xml:space="preserve"> av snø.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Dette er uholdbart og hemmer effektiviteten og forsinker arbeidet.  Dette har skapt frustrasjon blant de ansatte i uteseksjonen.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Garasje til tankbilen leies privat.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Manglende lager/verksted/garasje for teknisk har vært et problem i flere år og nå er det påtrengende å finne en løsning.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Fra teknisk sin side har en sett på forskjellige alternativer for å finne en rimelig løsning på problemet.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Det har bl.a. vært vurdert å leie lagerhall.  Vi har fått et tilbud fra </w:t>
      </w:r>
      <w:proofErr w:type="spellStart"/>
      <w:r>
        <w:rPr>
          <w:sz w:val="24"/>
        </w:rPr>
        <w:t>Nesseb</w:t>
      </w:r>
      <w:proofErr w:type="spellEnd"/>
      <w:r>
        <w:rPr>
          <w:sz w:val="24"/>
        </w:rPr>
        <w:t xml:space="preserve"> Maskin på kr. 1000 pr. m2, inkl snørydding.  Behovet er anslått til 145 m2, hvilket vil tilsi en årlig leie på kr. 145.000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Plasthaller har vært et av alternativene og en har vurdert dette for å være den rimeligste løsningen.  Fra JVT Maskin as i Tana, har man fått et tilbud på meget rimelig og stor (12 x 18 m) plasthall samt grunnarbeid.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Plasthallen er brukt, fra 2011 og prisen er på </w:t>
      </w:r>
      <w:r>
        <w:rPr>
          <w:sz w:val="24"/>
        </w:rPr>
        <w:tab/>
        <w:t xml:space="preserve">kr. 258.000 eks. mva, ferdig oppsatt.  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I tillegg kommer grunnarbeider på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706227">
        <w:rPr>
          <w:sz w:val="24"/>
          <w:u w:val="single"/>
        </w:rPr>
        <w:t>kr.  48</w:t>
      </w:r>
      <w:proofErr w:type="gramEnd"/>
      <w:r w:rsidRPr="00706227">
        <w:rPr>
          <w:sz w:val="24"/>
          <w:u w:val="single"/>
        </w:rPr>
        <w:t xml:space="preserve">.000 </w:t>
      </w:r>
      <w:proofErr w:type="spellStart"/>
      <w:r w:rsidRPr="00706227">
        <w:rPr>
          <w:sz w:val="24"/>
          <w:u w:val="single"/>
        </w:rPr>
        <w:t>eks.mva</w:t>
      </w:r>
      <w:proofErr w:type="spellEnd"/>
      <w:r>
        <w:rPr>
          <w:sz w:val="24"/>
        </w:rPr>
        <w:t xml:space="preserve">. 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Sum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kr. 316.000 eks. mva</w:t>
      </w:r>
    </w:p>
    <w:p w:rsidR="001A3DCE" w:rsidRDefault="001A3DCE" w:rsidP="001A3DCE">
      <w:pPr>
        <w:rPr>
          <w:sz w:val="24"/>
        </w:rPr>
      </w:pPr>
    </w:p>
    <w:p w:rsidR="001A3DCE" w:rsidRPr="00FD2FB2" w:rsidRDefault="001A3DCE" w:rsidP="001A3DCE">
      <w:pPr>
        <w:rPr>
          <w:sz w:val="24"/>
          <w:u w:val="single"/>
        </w:rPr>
      </w:pPr>
      <w:r>
        <w:rPr>
          <w:sz w:val="24"/>
        </w:rPr>
        <w:t xml:space="preserve">Totalt kr. </w:t>
      </w:r>
      <w:r w:rsidRPr="00FD2FB2">
        <w:rPr>
          <w:sz w:val="24"/>
          <w:u w:val="single"/>
        </w:rPr>
        <w:t>395.000, inkl. mva.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lastRenderedPageBreak/>
        <w:t xml:space="preserve">En har også vurdert forskjellige plasseringer av hallen.  Det rimeligste alternativet mht. grunnarbeid er </w:t>
      </w:r>
      <w:proofErr w:type="gramStart"/>
      <w:r>
        <w:rPr>
          <w:sz w:val="24"/>
        </w:rPr>
        <w:t>ved  mannskapsbrakka</w:t>
      </w:r>
      <w:proofErr w:type="gramEnd"/>
      <w:r>
        <w:rPr>
          <w:sz w:val="24"/>
        </w:rPr>
        <w:t xml:space="preserve"> i </w:t>
      </w:r>
      <w:proofErr w:type="spellStart"/>
      <w:r>
        <w:rPr>
          <w:sz w:val="24"/>
        </w:rPr>
        <w:t>Vesterelv</w:t>
      </w:r>
      <w:proofErr w:type="spellEnd"/>
      <w:r>
        <w:rPr>
          <w:sz w:val="24"/>
        </w:rPr>
        <w:t>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For å kunne benytte hallen til garasje for tankbilen, må det bygges et eget rom til dette formål.  Dette har en ikke kostnadene på i dag.  Det vil også være fordelaktig å legge et betongdekke eller asfalt inne i hallen.  En foreslår derfor at dette utsettes inntil videre. </w:t>
      </w:r>
    </w:p>
    <w:p w:rsidR="001A3DCE" w:rsidRDefault="001A3DCE" w:rsidP="001A3DCE">
      <w:pPr>
        <w:pStyle w:val="Overskrift2"/>
      </w:pPr>
      <w:r>
        <w:t>Vurderinger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>Nye tilsvarende haller er til salgs for ca. kr. 500.000 slik at tilbudet regnes som gunstig.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Å leie lagerlokaler/garasje er også ugunstig sammenlignet med egen hall.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En vil derfor foreslå at det bevilges kr. 400.000 til innkjøp og montering av </w:t>
      </w:r>
      <w:proofErr w:type="spellStart"/>
      <w:r>
        <w:rPr>
          <w:sz w:val="24"/>
        </w:rPr>
        <w:t>rubbhall</w:t>
      </w:r>
      <w:proofErr w:type="spellEnd"/>
      <w:r>
        <w:rPr>
          <w:sz w:val="24"/>
        </w:rPr>
        <w:t>.  Det vil bli fremmet en egen sak om innredning, strømtilførsel m.m. når kostnadene er klare.</w:t>
      </w:r>
    </w:p>
    <w:p w:rsidR="001A3DCE" w:rsidRDefault="001A3DCE" w:rsidP="001A3DCE">
      <w:pPr>
        <w:pStyle w:val="Overskrift2"/>
      </w:pPr>
      <w:r>
        <w:t>Mulige alternative løsninger og konsekvenser</w:t>
      </w:r>
    </w:p>
    <w:p w:rsidR="001A3DCE" w:rsidRDefault="001A3DCE" w:rsidP="001A3DCE">
      <w:pPr>
        <w:rPr>
          <w:sz w:val="24"/>
        </w:rPr>
      </w:pPr>
      <w:r>
        <w:rPr>
          <w:sz w:val="24"/>
        </w:rPr>
        <w:t xml:space="preserve">Som nevnt under ”merknader” har vi, fra en lokal entreprenør, fått et tilbud som vil tilsi en årlig leie på kr. 145.000.  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  <w:r>
        <w:rPr>
          <w:sz w:val="24"/>
        </w:rPr>
        <w:t>Dette er et alternativ som ikke er optimalt, men kan være et alternativ.  Dette tilsier at driftsrammen for Plan- og Utvikling må økes tilsvarende da det ikke er rom for disse kostnadene innenfor eksisterende ramme.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Pr="000472A6" w:rsidRDefault="001A3DCE" w:rsidP="001A3DCE">
      <w:pPr>
        <w:rPr>
          <w:sz w:val="24"/>
          <w:u w:val="single"/>
        </w:rPr>
      </w:pPr>
      <w:r w:rsidRPr="000472A6">
        <w:rPr>
          <w:sz w:val="24"/>
          <w:u w:val="single"/>
        </w:rPr>
        <w:t>Alternativt vedtak:</w:t>
      </w:r>
    </w:p>
    <w:p w:rsidR="001A3DCE" w:rsidRDefault="001A3DCE" w:rsidP="001A3DC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Nesseby kommune vedtar å inngå leie av garasje/lager fra Nesseby Maskin AS.</w:t>
      </w:r>
    </w:p>
    <w:p w:rsidR="001A3DCE" w:rsidRDefault="001A3DCE" w:rsidP="001A3DCE">
      <w:pPr>
        <w:ind w:left="720"/>
        <w:rPr>
          <w:sz w:val="24"/>
        </w:rPr>
      </w:pPr>
    </w:p>
    <w:p w:rsidR="001A3DCE" w:rsidRDefault="001A3DCE" w:rsidP="001A3DC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For å dekke leiekostnadene økes driftsrammen for Plan- og Utvikling med kr. 145.000 </w:t>
      </w:r>
      <w:proofErr w:type="spellStart"/>
      <w:r>
        <w:rPr>
          <w:sz w:val="24"/>
        </w:rPr>
        <w:t>fom</w:t>
      </w:r>
      <w:proofErr w:type="spellEnd"/>
      <w:r>
        <w:rPr>
          <w:sz w:val="24"/>
        </w:rPr>
        <w:t>. 2014.</w:t>
      </w: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Default="001A3DCE" w:rsidP="001A3DCE">
      <w:pPr>
        <w:rPr>
          <w:sz w:val="24"/>
        </w:rPr>
      </w:pPr>
    </w:p>
    <w:p w:rsidR="001A3DCE" w:rsidRPr="00550E98" w:rsidRDefault="001A3DCE" w:rsidP="001A3DCE">
      <w:pPr>
        <w:pStyle w:val="Sakstittel2"/>
      </w:pPr>
    </w:p>
    <w:p w:rsidR="00862481" w:rsidRDefault="00862481"/>
    <w:sectPr w:rsidR="00862481" w:rsidSect="001A3DCE">
      <w:headerReference w:type="even" r:id="rId10"/>
      <w:footerReference w:type="default" r:id="rId11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2" w:rsidRDefault="001A3DCE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2" w:rsidRDefault="001A3DCE"/>
  <w:p w:rsidR="00F70252" w:rsidRDefault="001A3DCE"/>
  <w:p w:rsidR="00F70252" w:rsidRDefault="001A3DCE"/>
  <w:p w:rsidR="00F70252" w:rsidRDefault="001A3DCE"/>
  <w:p w:rsidR="00F70252" w:rsidRDefault="001A3DCE"/>
  <w:p w:rsidR="00F70252" w:rsidRDefault="001A3DCE"/>
  <w:p w:rsidR="00F70252" w:rsidRDefault="001A3D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2F7"/>
    <w:multiLevelType w:val="hybridMultilevel"/>
    <w:tmpl w:val="A356BB4A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286"/>
    <w:multiLevelType w:val="hybridMultilevel"/>
    <w:tmpl w:val="D9D20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759"/>
    <w:multiLevelType w:val="hybridMultilevel"/>
    <w:tmpl w:val="3EDABC1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1B28"/>
    <w:multiLevelType w:val="hybridMultilevel"/>
    <w:tmpl w:val="7F008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7E11"/>
    <w:multiLevelType w:val="hybridMultilevel"/>
    <w:tmpl w:val="0D4A44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0447"/>
    <w:multiLevelType w:val="hybridMultilevel"/>
    <w:tmpl w:val="79DE9D1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0EF5"/>
    <w:multiLevelType w:val="hybridMultilevel"/>
    <w:tmpl w:val="7F008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A3DCE"/>
    <w:rsid w:val="001A3DCE"/>
    <w:rsid w:val="0086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A3DCE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1A3DCE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link w:val="Overskrift5Tegn"/>
    <w:qFormat/>
    <w:rsid w:val="001A3DCE"/>
    <w:pPr>
      <w:keepNext/>
      <w:ind w:left="81" w:hanging="81"/>
      <w:outlineLvl w:val="4"/>
    </w:pPr>
    <w:rPr>
      <w:b/>
      <w:bCs/>
      <w:spacing w:val="-2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A3DCE"/>
    <w:rPr>
      <w:rFonts w:ascii="Times New Roman" w:eastAsia="Times New Roman" w:hAnsi="Times New Roman" w:cs="Arial"/>
      <w:b/>
      <w:bCs/>
      <w:iCs/>
      <w:sz w:val="20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1A3DC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1A3DCE"/>
    <w:rPr>
      <w:rFonts w:ascii="Times New Roman" w:eastAsia="Times New Roman" w:hAnsi="Times New Roman" w:cs="Times New Roman"/>
      <w:b/>
      <w:bCs/>
      <w:spacing w:val="-20"/>
      <w:sz w:val="36"/>
      <w:szCs w:val="20"/>
      <w:lang w:eastAsia="nb-NO"/>
    </w:rPr>
  </w:style>
  <w:style w:type="paragraph" w:styleId="Topptekst">
    <w:name w:val="header"/>
    <w:basedOn w:val="Normal"/>
    <w:link w:val="TopptekstTegn"/>
    <w:rsid w:val="001A3DCE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1A3DCE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1A3D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1A3DC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akstittel1">
    <w:name w:val="Sakstittel1"/>
    <w:basedOn w:val="Overskrift1"/>
    <w:rsid w:val="001A3DCE"/>
    <w:pPr>
      <w:keepLines w:val="0"/>
      <w:spacing w:before="240" w:after="240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akstittel2">
    <w:name w:val="Sakstittel2"/>
    <w:basedOn w:val="Overskrift2"/>
    <w:rsid w:val="001A3DCE"/>
  </w:style>
  <w:style w:type="character" w:customStyle="1" w:styleId="Overskrift1Tegn">
    <w:name w:val="Overskrift 1 Tegn"/>
    <w:basedOn w:val="Standardskriftforavsnitt"/>
    <w:link w:val="Overskrift1"/>
    <w:uiPriority w:val="9"/>
    <w:rsid w:val="001A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D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DC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2993</Words>
  <Characters>15863</Characters>
  <Application>Microsoft Office Word</Application>
  <DocSecurity>0</DocSecurity>
  <Lines>132</Lines>
  <Paragraphs>37</Paragraphs>
  <ScaleCrop>false</ScaleCrop>
  <Company>Tana Kommune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ivesig</dc:creator>
  <cp:lastModifiedBy>ivesig</cp:lastModifiedBy>
  <cp:revision>1</cp:revision>
  <dcterms:created xsi:type="dcterms:W3CDTF">2013-09-16T07:45:00Z</dcterms:created>
  <dcterms:modified xsi:type="dcterms:W3CDTF">2013-09-16T07:46:00Z</dcterms:modified>
</cp:coreProperties>
</file>